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49" w:rsidRDefault="00952949" w:rsidP="00952949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 w:rsidRPr="00FE2BC6">
        <w:rPr>
          <w:rFonts w:asciiTheme="minorEastAsia" w:eastAsiaTheme="minorEastAsia" w:hAnsiTheme="minorEastAsia" w:cs="AdvTT31ea7dbe"/>
          <w:b/>
          <w:color w:val="231F20"/>
          <w:kern w:val="0"/>
          <w:szCs w:val="20"/>
          <w:highlight w:val="yellow"/>
        </w:rPr>
        <w:t>서론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</w:p>
    <w:p w:rsidR="002270DF" w:rsidRDefault="00FE2BC6" w:rsidP="00952949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프로포폴</w:t>
      </w:r>
      <w:r w:rsidR="00710A01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은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임상 도입 초기에는 전신마취의 유도 및 유지 목적으로 사용되었으나, 최근에는 외국과 마찬가지로 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국내에서도 다양한 임상과 의사들에 의해 다양한 진단적 또는 치료적 시술이나 수술에 진정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요법 약제로 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널리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사용되고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있습니다. 그러나 전통적인 진정요법(</w:t>
      </w:r>
      <w:proofErr w:type="spellStart"/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미다졸람</w:t>
      </w:r>
      <w:proofErr w:type="spellEnd"/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등의 진정제의 단독 사용 또는 </w:t>
      </w:r>
      <w:proofErr w:type="spellStart"/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마약성</w:t>
      </w:r>
      <w:proofErr w:type="spellEnd"/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진통제와 동반 사용)보다 프로포폴 진정이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동일 진정 깊이에 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기도폐쇄, 호흡억제, 및 심혈관 기능 저하를 더 심하게 일으키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므로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, 국내에서도 프로포폴 진정으로 인한 심각한 부작용 역시 점차 늘어나고 있는 실정입니다. 그러나 아직 국내에서는 프로포폴 진정에 대한 임상 가이드라인이 제정되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어 있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지 않는바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,</w:t>
      </w:r>
      <w:r w:rsidR="002270D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대한마취통증의학회는</w:t>
      </w:r>
      <w:proofErr w:type="spellEnd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대한의사협회의 요청에 따라 </w:t>
      </w: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비마취통증의학과</w:t>
      </w:r>
      <w:proofErr w:type="spellEnd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의사의 프로포폴 진정에 대한 임상지침을 만들었습니다.</w:t>
      </w:r>
    </w:p>
    <w:p w:rsidR="002270DF" w:rsidRDefault="002270DF" w:rsidP="00952949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</w:p>
    <w:p w:rsidR="00952949" w:rsidRDefault="002270DF" w:rsidP="00952949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FE2BC6" w:rsidRPr="00FE2BC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임상지침의 특징</w:t>
      </w:r>
    </w:p>
    <w:p w:rsidR="00EC414B" w:rsidRDefault="00710A01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본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임상지침은 </w:t>
      </w:r>
      <w:r w:rsidR="004F68F6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proofErr w:type="spellStart"/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비마취통증의학과</w:t>
      </w:r>
      <w:proofErr w:type="spellEnd"/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의사의 프로포폴 진정</w:t>
      </w:r>
      <w:r w:rsidR="00EB08D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(타 약제가 동반 사용된 프로포폴 진정도 포함)</w:t>
      </w:r>
      <w:r w:rsidR="004F68F6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”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에 대한 내용만을 국한하여 다루고 있</w:t>
      </w:r>
      <w:r w:rsid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습니다. 현재 동일한 주제로 </w:t>
      </w:r>
      <w:r w:rsidR="00EC414B" w:rsidRPr="00FE2BC6">
        <w:rPr>
          <w:rFonts w:asciiTheme="minorEastAsia" w:eastAsiaTheme="minorEastAsia" w:hAnsiTheme="minorEastAsia" w:cs="AdvTT31ea7dbe" w:hint="eastAsia"/>
          <w:b/>
          <w:kern w:val="0"/>
          <w:szCs w:val="20"/>
        </w:rPr>
        <w:t xml:space="preserve">임상 가이드라인이 만들어진 것은 </w:t>
      </w:r>
      <w:r w:rsidR="00EC414B">
        <w:rPr>
          <w:rFonts w:asciiTheme="minorEastAsia" w:eastAsiaTheme="minorEastAsia" w:hAnsiTheme="minorEastAsia" w:cs="AdvTT31ea7dbe" w:hint="eastAsia"/>
          <w:b/>
          <w:kern w:val="0"/>
          <w:szCs w:val="20"/>
        </w:rPr>
        <w:t>2010년 유럽위장관내시경학회(</w:t>
      </w:r>
      <w:r w:rsidR="00EC414B" w:rsidRPr="00FE2BC6">
        <w:rPr>
          <w:rFonts w:asciiTheme="minorEastAsia" w:eastAsiaTheme="minorEastAsia" w:hAnsiTheme="minorEastAsia" w:cs="AdvTTac59b273.B"/>
          <w:b/>
          <w:kern w:val="0"/>
          <w:szCs w:val="20"/>
        </w:rPr>
        <w:t>European Society of Gastrointestinal Endoscopy,</w:t>
      </w:r>
      <w:r w:rsidR="00EC414B">
        <w:rPr>
          <w:rFonts w:asciiTheme="minorEastAsia" w:eastAsiaTheme="minorEastAsia" w:hAnsiTheme="minorEastAsia" w:cs="AdvTTac59b273.B" w:hint="eastAsia"/>
          <w:b/>
          <w:kern w:val="0"/>
          <w:szCs w:val="20"/>
        </w:rPr>
        <w:t xml:space="preserve"> ESGE)</w:t>
      </w:r>
      <w:r w:rsidR="00EC414B">
        <w:rPr>
          <w:rFonts w:asciiTheme="minorEastAsia" w:eastAsiaTheme="minorEastAsia" w:hAnsiTheme="minorEastAsia" w:cs="AdvTTac59b273.B"/>
          <w:b/>
          <w:kern w:val="0"/>
          <w:szCs w:val="20"/>
        </w:rPr>
        <w:t>가</w:t>
      </w:r>
      <w:r w:rsidR="00EC414B">
        <w:rPr>
          <w:rFonts w:asciiTheme="minorEastAsia" w:eastAsiaTheme="minorEastAsia" w:hAnsiTheme="minorEastAsia" w:cs="AdvTTac59b273.B" w:hint="eastAsia"/>
          <w:b/>
          <w:kern w:val="0"/>
          <w:szCs w:val="20"/>
        </w:rPr>
        <w:t xml:space="preserve"> 주축이 되어 제정된 가이드라인</w:t>
      </w:r>
      <w:r>
        <w:rPr>
          <w:rFonts w:asciiTheme="minorEastAsia" w:eastAsiaTheme="minorEastAsia" w:hAnsiTheme="minorEastAsia" w:cs="AdvTTac59b273.B" w:hint="eastAsia"/>
          <w:b/>
          <w:kern w:val="0"/>
          <w:szCs w:val="20"/>
        </w:rPr>
        <w:t>이</w:t>
      </w:r>
      <w:r w:rsidR="00EC414B">
        <w:rPr>
          <w:rFonts w:asciiTheme="minorEastAsia" w:eastAsiaTheme="minorEastAsia" w:hAnsiTheme="minorEastAsia" w:cs="AdvTTac59b273.B" w:hint="eastAsia"/>
          <w:b/>
          <w:kern w:val="0"/>
          <w:szCs w:val="20"/>
        </w:rPr>
        <w:t xml:space="preserve"> 유일합니다. </w:t>
      </w:r>
      <w:r w:rsid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본 학회는 시간적 제약으로 ESGE</w:t>
      </w:r>
      <w:r w:rsidR="00EC414B">
        <w:rPr>
          <w:rFonts w:asciiTheme="minorEastAsia" w:eastAsiaTheme="minorEastAsia" w:hAnsiTheme="minorEastAsia" w:cs="AdvTTac59b273.B" w:hint="eastAsia"/>
          <w:b/>
          <w:kern w:val="0"/>
          <w:szCs w:val="20"/>
        </w:rPr>
        <w:t xml:space="preserve"> 가이드라인을[1] 주로 참조하</w:t>
      </w:r>
      <w:r>
        <w:rPr>
          <w:rFonts w:asciiTheme="minorEastAsia" w:eastAsiaTheme="minorEastAsia" w:hAnsiTheme="minorEastAsia" w:cs="AdvTTac59b273.B" w:hint="eastAsia"/>
          <w:b/>
          <w:kern w:val="0"/>
          <w:szCs w:val="20"/>
        </w:rPr>
        <w:t>되</w:t>
      </w:r>
      <w:r w:rsidR="00EC414B">
        <w:rPr>
          <w:rFonts w:asciiTheme="minorEastAsia" w:eastAsiaTheme="minorEastAsia" w:hAnsiTheme="minorEastAsia" w:cs="AdvTTac59b273.B" w:hint="eastAsia"/>
          <w:b/>
          <w:kern w:val="0"/>
          <w:szCs w:val="20"/>
        </w:rPr>
        <w:t xml:space="preserve">, 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해당 주제에 관련된 기존 연구들을 분석한 결과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를 바탕으로 제정된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외국의 </w:t>
      </w:r>
      <w:r w:rsid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다른 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유관 학회들의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진정 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가이드라인들을</w:t>
      </w:r>
      <w:r w:rsid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[2-1</w:t>
      </w:r>
      <w:r w:rsidR="00B26AFE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1</w:t>
      </w:r>
      <w:r w:rsid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]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추가 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참조하여 </w:t>
      </w:r>
      <w:proofErr w:type="spellStart"/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대한마취통증의학회</w:t>
      </w:r>
      <w:proofErr w:type="spellEnd"/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산하 프로포폴 진정 </w:t>
      </w:r>
      <w:proofErr w:type="spellStart"/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태스크포스팀의</w:t>
      </w:r>
      <w:proofErr w:type="spellEnd"/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전문가 의견을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최종 </w:t>
      </w:r>
      <w:r w:rsidR="00B3276C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반영하여 작성하였습니다.</w:t>
      </w:r>
    </w:p>
    <w:p w:rsidR="00B3276C" w:rsidRPr="00D86271" w:rsidRDefault="0076173C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lastRenderedPageBreak/>
        <w:t xml:space="preserve">당 지침은 실제 임상에서 반드시 지켜져야 하는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강제적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지침이 아니며, 개별 지침항목의 </w:t>
      </w:r>
      <w:r w:rsidR="004F68F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수용 여부는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개별 환자의 진료환경에 근거하여 해당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진료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의사가 최종적으로 </w:t>
      </w:r>
      <w:r w:rsidR="004F68F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결정하여야 합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니다. </w:t>
      </w:r>
      <w:r w:rsidR="003E35FE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또한 프로포폴 단독으로도 </w:t>
      </w:r>
      <w:r w:rsidR="00B268F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상당한 수준의 침습적 수술 또는 시술이 가능한 바, 프로포폴을 사용한 의도적인 전신마취에 대한 임상지침의 제공은 아님을 밝힙니다.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52314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이는 비록 </w:t>
      </w:r>
      <w:proofErr w:type="spellStart"/>
      <w:r w:rsidR="0052314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비마취통증의학과</w:t>
      </w:r>
      <w:proofErr w:type="spellEnd"/>
      <w:r w:rsidR="0052314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의사일지라도 </w:t>
      </w:r>
      <w:r w:rsidR="00E701E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의료법 상 전신마취를 </w:t>
      </w:r>
      <w:r w:rsidR="0052314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합법적으로 시행할 수 있으나, 이 경우 요구되는 의료 수준은 마취통증의학과 전문의에게 요구되는 수준과 동일함에 근거합니다.</w:t>
      </w:r>
    </w:p>
    <w:p w:rsidR="00B3276C" w:rsidRDefault="00B3276C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D971D2" w:rsidRPr="00D971D2" w:rsidRDefault="00D971D2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프로포폴 진정의 특수성</w:t>
      </w:r>
    </w:p>
    <w:p w:rsidR="009744A1" w:rsidRDefault="00BD3EA1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타 진정제와 마찬가지로 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프로포폴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역시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동일한 용량을 투여하더라도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개별 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환자마다 진정의 깊이가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다르며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, 동일 환자에서도 시술 내용에 따라 시술 중에 언제든지 진정의 깊이가 달라지게 됩니다. 진정의 깊이는 미국마취과학회에서 정의한 4단계(얕은 진정, 중등도 진정, 깊은 진정 및 전신마취 상태)의 스펙트럼의 개념이며</w:t>
      </w:r>
      <w:r w:rsidR="00D971D2" w:rsidRPr="00D971D2">
        <w:rPr>
          <w:rFonts w:asciiTheme="minorEastAsia" w:eastAsiaTheme="minorEastAsia" w:hAnsiTheme="minorEastAsia" w:cs="AdvTT31ea7dbe" w:hint="eastAsia"/>
          <w:b/>
          <w:color w:val="0000FF"/>
          <w:kern w:val="0"/>
          <w:szCs w:val="20"/>
        </w:rPr>
        <w:t>[표 1 참조]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, 개별 환자 및 시술에 따라 </w:t>
      </w:r>
      <w:r w:rsidR="009744A1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‘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투여용량-반응</w:t>
      </w:r>
      <w:r w:rsidR="009744A1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’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이 다양하며 진정상태의 각 단계가 명확히 구분되지 않습니다.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특히 프로포폴의 경우 좁은 치료범위(therapeutic window)</w:t>
      </w:r>
      <w:r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로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9744A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시술자가 계획한 진정 상태보다 깊어져 시술 중 언제든지 전신마취 상태가 가능</w:t>
      </w:r>
      <w:r w:rsidR="00131F93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하며 단독 투여로는 진통 효과가 제한적이므로 원활한 시술 또는 수술을 위해서는 거의 언제나 </w:t>
      </w:r>
      <w:r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‘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중등도 이상의 깊은 진정</w:t>
      </w:r>
      <w:r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’</w:t>
      </w:r>
      <w:r w:rsidR="00131F93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이 필요합니다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.</w:t>
      </w:r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따라서 프로포폴 진정은 </w:t>
      </w:r>
      <w:proofErr w:type="spellStart"/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미다졸람이나</w:t>
      </w:r>
      <w:proofErr w:type="spellEnd"/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proofErr w:type="spellStart"/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마약성</w:t>
      </w:r>
      <w:proofErr w:type="spellEnd"/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진통제를 사용하는 전통적인 진정과 달리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본</w:t>
      </w:r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임상지침을 지켜야 할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의학적 </w:t>
      </w:r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필요성이 있습니다.</w:t>
      </w:r>
    </w:p>
    <w:p w:rsidR="00D971D2" w:rsidRDefault="00D971D2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BD3EA1" w:rsidRPr="00D971D2" w:rsidRDefault="00D971D2" w:rsidP="00D971D2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0000FF"/>
          <w:kern w:val="0"/>
          <w:szCs w:val="20"/>
        </w:rPr>
      </w:pPr>
      <w:r w:rsidRPr="00D971D2">
        <w:rPr>
          <w:rFonts w:asciiTheme="minorEastAsia" w:eastAsiaTheme="minorEastAsia" w:hAnsiTheme="minorEastAsia" w:cs="AdvTT31ea7dbe" w:hint="eastAsia"/>
          <w:b/>
          <w:color w:val="0000FF"/>
          <w:kern w:val="0"/>
          <w:szCs w:val="20"/>
        </w:rPr>
        <w:t xml:space="preserve">표 1. </w:t>
      </w:r>
      <w:r w:rsidRPr="00D971D2">
        <w:rPr>
          <w:b/>
          <w:color w:val="0000FF"/>
          <w:szCs w:val="20"/>
        </w:rPr>
        <w:t xml:space="preserve">Continuum of Depth of Sedation; Definition of General Anesthesia and Levels of </w:t>
      </w:r>
      <w:r w:rsidRPr="00D971D2">
        <w:rPr>
          <w:rFonts w:hint="eastAsia"/>
          <w:b/>
          <w:color w:val="0000FF"/>
          <w:szCs w:val="20"/>
        </w:rPr>
        <w:lastRenderedPageBreak/>
        <w:t>S</w:t>
      </w:r>
      <w:r w:rsidRPr="00D971D2">
        <w:rPr>
          <w:b/>
          <w:color w:val="0000FF"/>
          <w:szCs w:val="20"/>
        </w:rPr>
        <w:t>edation/Analgesia (</w:t>
      </w:r>
      <w:r w:rsidRPr="00D971D2">
        <w:rPr>
          <w:rFonts w:hint="eastAsia"/>
          <w:b/>
          <w:color w:val="0000FF"/>
          <w:szCs w:val="20"/>
        </w:rPr>
        <w:t>미국마취과학회</w:t>
      </w:r>
      <w:r w:rsidR="00B26AFE">
        <w:rPr>
          <w:rFonts w:hint="eastAsia"/>
          <w:b/>
          <w:color w:val="0000FF"/>
          <w:szCs w:val="20"/>
        </w:rPr>
        <w:t>) [2]</w:t>
      </w:r>
    </w:p>
    <w:tbl>
      <w:tblPr>
        <w:tblStyle w:val="a6"/>
        <w:tblW w:w="0" w:type="auto"/>
        <w:jc w:val="center"/>
        <w:tblInd w:w="27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935"/>
        <w:gridCol w:w="1930"/>
        <w:gridCol w:w="1930"/>
        <w:gridCol w:w="1931"/>
      </w:tblGrid>
      <w:tr w:rsidR="00D971D2" w:rsidRPr="00D971D2" w:rsidTr="009F7770">
        <w:trPr>
          <w:jc w:val="center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얕은 진정</w:t>
            </w:r>
          </w:p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Minimal sedation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  <w:t>중등도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 진정</w:t>
            </w:r>
          </w:p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Moderate sedation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  <w:t>깊은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 진정</w:t>
            </w:r>
          </w:p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  <w:t>D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eep sedation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  <w:t>전신마취</w:t>
            </w:r>
          </w:p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  <w:t>G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eneral anesthesia</w:t>
            </w:r>
          </w:p>
        </w:tc>
      </w:tr>
      <w:tr w:rsidR="00D971D2" w:rsidRPr="00D971D2" w:rsidTr="009F7770">
        <w:trPr>
          <w:jc w:val="center"/>
        </w:trPr>
        <w:tc>
          <w:tcPr>
            <w:tcW w:w="1243" w:type="dxa"/>
            <w:tcBorders>
              <w:top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환자 반응</w:t>
            </w:r>
          </w:p>
        </w:tc>
        <w:tc>
          <w:tcPr>
            <w:tcW w:w="1935" w:type="dxa"/>
            <w:tcBorders>
              <w:top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  <w:t>구두명령에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 잘 반응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구두</w:t>
            </w:r>
            <w:r w:rsidR="0011757F"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명령이나 흔들어 깨우면 반응함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통증 및 반복 자극에 겨우 반응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통증 자극에도 반응 없음</w:t>
            </w:r>
          </w:p>
        </w:tc>
      </w:tr>
      <w:tr w:rsidR="00D971D2" w:rsidRPr="00D971D2" w:rsidTr="009F7770">
        <w:trPr>
          <w:jc w:val="center"/>
        </w:trPr>
        <w:tc>
          <w:tcPr>
            <w:tcW w:w="1243" w:type="dxa"/>
            <w:tcBorders>
              <w:bottom w:val="nil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기도유지</w:t>
            </w:r>
          </w:p>
        </w:tc>
        <w:tc>
          <w:tcPr>
            <w:tcW w:w="1935" w:type="dxa"/>
            <w:tcBorders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영향 없음</w:t>
            </w:r>
          </w:p>
        </w:tc>
        <w:tc>
          <w:tcPr>
            <w:tcW w:w="1930" w:type="dxa"/>
            <w:tcBorders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추가 조작이 불필요</w:t>
            </w:r>
          </w:p>
        </w:tc>
        <w:tc>
          <w:tcPr>
            <w:tcW w:w="1930" w:type="dxa"/>
            <w:tcBorders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추가조작이 필요할 수도 있음</w:t>
            </w:r>
          </w:p>
        </w:tc>
        <w:tc>
          <w:tcPr>
            <w:tcW w:w="1931" w:type="dxa"/>
            <w:tcBorders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추가조작이 자주 요구됨.</w:t>
            </w:r>
          </w:p>
        </w:tc>
      </w:tr>
      <w:tr w:rsidR="00D971D2" w:rsidRPr="00D971D2" w:rsidTr="009F7770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자발호흡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영향 없음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적절히 유지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부적절하게 유지될 가능성 있음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거의 유지</w:t>
            </w:r>
            <w:r w:rsidR="00B268FC"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가 안 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됨</w:t>
            </w:r>
          </w:p>
        </w:tc>
      </w:tr>
      <w:tr w:rsidR="00D971D2" w:rsidRPr="00D971D2" w:rsidTr="009F7770">
        <w:trPr>
          <w:jc w:val="center"/>
        </w:trPr>
        <w:tc>
          <w:tcPr>
            <w:tcW w:w="1243" w:type="dxa"/>
            <w:tcBorders>
              <w:top w:val="nil"/>
            </w:tcBorders>
          </w:tcPr>
          <w:p w:rsidR="009744A1" w:rsidRPr="00D971D2" w:rsidRDefault="009744A1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심혈관</w:t>
            </w:r>
            <w:r w:rsid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 </w:t>
            </w: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기능</w:t>
            </w:r>
          </w:p>
        </w:tc>
        <w:tc>
          <w:tcPr>
            <w:tcW w:w="1935" w:type="dxa"/>
            <w:tcBorders>
              <w:top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영향 없음</w:t>
            </w:r>
          </w:p>
        </w:tc>
        <w:tc>
          <w:tcPr>
            <w:tcW w:w="1930" w:type="dxa"/>
            <w:tcBorders>
              <w:top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대개 유지됨</w:t>
            </w:r>
          </w:p>
        </w:tc>
        <w:tc>
          <w:tcPr>
            <w:tcW w:w="1930" w:type="dxa"/>
            <w:tcBorders>
              <w:top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대개 유지됨</w:t>
            </w:r>
          </w:p>
        </w:tc>
        <w:tc>
          <w:tcPr>
            <w:tcW w:w="1931" w:type="dxa"/>
            <w:tcBorders>
              <w:top w:val="nil"/>
            </w:tcBorders>
          </w:tcPr>
          <w:p w:rsidR="009744A1" w:rsidRPr="00D971D2" w:rsidRDefault="0011757F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D971D2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저하가 발생 가능</w:t>
            </w:r>
            <w:r w:rsidR="00710A01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함</w:t>
            </w:r>
          </w:p>
        </w:tc>
      </w:tr>
    </w:tbl>
    <w:p w:rsidR="009744A1" w:rsidRPr="00D86271" w:rsidRDefault="009744A1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AC10CA" w:rsidRPr="00D86271" w:rsidRDefault="00D971D2" w:rsidP="00D971D2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 xml:space="preserve">진정 전 환자 </w:t>
      </w:r>
      <w:r w:rsidR="00710A0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준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비 및 평가</w:t>
      </w:r>
    </w:p>
    <w:p w:rsidR="00DF60EF" w:rsidRPr="00D971D2" w:rsidRDefault="00D971D2" w:rsidP="00D971D2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1.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의료법 상 </w:t>
      </w:r>
      <w:r w:rsidRPr="00D971D2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r w:rsidR="00DF60EF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의원 또는 </w:t>
      </w:r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병원</w:t>
      </w:r>
      <w:r w:rsidRPr="00D971D2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”</w:t>
      </w:r>
      <w:proofErr w:type="spellStart"/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으로</w:t>
      </w:r>
      <w:proofErr w:type="spellEnd"/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분류되는 의료기관에서 프로포폴 진정이 예정될 경우, 해당 환자, 해당 시술 또는 수술, 담당 의료진</w:t>
      </w:r>
      <w:r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에 의해 프로포폴 진정이 시행되는 것이 </w:t>
      </w:r>
      <w:r w:rsid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시설/장비/의료진의 임상 능력과 경험</w:t>
      </w:r>
      <w:r w:rsid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적인 측면에서 </w:t>
      </w:r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적절한지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에 </w:t>
      </w:r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대한 종합적인 검토가 먼저 이루어져야 합니다. 부적절하다고 판단되면 상급 의료기관으로 </w:t>
      </w:r>
      <w:proofErr w:type="spellStart"/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전원하는</w:t>
      </w:r>
      <w:proofErr w:type="spellEnd"/>
      <w:r w:rsidR="00980F18" w:rsidRP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것이 바람직합니다.</w:t>
      </w:r>
    </w:p>
    <w:p w:rsidR="00D971D2" w:rsidRPr="00D971D2" w:rsidRDefault="00D971D2" w:rsidP="00D971D2"/>
    <w:p w:rsidR="00AC10CA" w:rsidRPr="00D86271" w:rsidRDefault="00DF60EF" w:rsidP="00D971D2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2. 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아래의 항목을 포함한 </w:t>
      </w:r>
      <w:r w:rsid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진정 전 적절한 환자 평가</w:t>
      </w:r>
      <w:r w:rsid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”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가 이루어지고 해당 기록이 있어야 합니다. </w:t>
      </w:r>
    </w:p>
    <w:p w:rsidR="00982A19" w:rsidRDefault="00AC10CA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1)</w:t>
      </w:r>
      <w:r w:rsidRPr="00D86271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 xml:space="preserve"> </w:t>
      </w:r>
      <w:r w:rsidR="00982A19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진정 전 활력징후(baseline vital sign)</w:t>
      </w:r>
    </w:p>
    <w:p w:rsidR="00AC10CA" w:rsidRPr="00D971D2" w:rsidRDefault="00982A19" w:rsidP="00D971D2">
      <w:pPr>
        <w:widowControl w:val="0"/>
        <w:tabs>
          <w:tab w:val="left" w:pos="284"/>
        </w:tabs>
        <w:autoSpaceDE w:val="0"/>
        <w:autoSpaceDN w:val="0"/>
        <w:adjustRightInd w:val="0"/>
        <w:spacing w:line="480" w:lineRule="auto"/>
        <w:ind w:left="200"/>
        <w:rPr>
          <w:rFonts w:asciiTheme="minorEastAsia" w:eastAsiaTheme="minorEastAsia" w:hAnsiTheme="minorEastAsia" w:cs="AdvTT31ea7dbe"/>
          <w:b/>
          <w:color w:val="0000FF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2) </w:t>
      </w:r>
      <w:r w:rsidR="00AC10CA" w:rsidRPr="00D86271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미국마취과학회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신체</w:t>
      </w:r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상태 분류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(American Society of </w:t>
      </w:r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A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nesthesiologists [ASA] physical status)</w:t>
      </w:r>
      <w:r w:rsidR="00D971D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D971D2" w:rsidRPr="00D971D2">
        <w:rPr>
          <w:rFonts w:asciiTheme="minorEastAsia" w:eastAsiaTheme="minorEastAsia" w:hAnsiTheme="minorEastAsia" w:cs="AdvTT31ea7dbe" w:hint="eastAsia"/>
          <w:b/>
          <w:color w:val="0000FF"/>
          <w:kern w:val="0"/>
          <w:szCs w:val="20"/>
        </w:rPr>
        <w:t>[</w:t>
      </w:r>
      <w:r w:rsidR="00D971D2" w:rsidRPr="00D971D2">
        <w:rPr>
          <w:rFonts w:asciiTheme="minorEastAsia" w:eastAsiaTheme="minorEastAsia" w:hAnsiTheme="minorEastAsia" w:cs="AdvTT31ea7dbe"/>
          <w:b/>
          <w:color w:val="0000FF"/>
          <w:kern w:val="0"/>
          <w:szCs w:val="20"/>
        </w:rPr>
        <w:t>표</w:t>
      </w:r>
      <w:r w:rsidR="00D971D2" w:rsidRPr="00D971D2">
        <w:rPr>
          <w:rFonts w:asciiTheme="minorEastAsia" w:eastAsiaTheme="minorEastAsia" w:hAnsiTheme="minorEastAsia" w:cs="AdvTT31ea7dbe" w:hint="eastAsia"/>
          <w:b/>
          <w:color w:val="0000FF"/>
          <w:kern w:val="0"/>
          <w:szCs w:val="20"/>
        </w:rPr>
        <w:t xml:space="preserve"> 2 참조]</w:t>
      </w:r>
    </w:p>
    <w:p w:rsidR="00B3276C" w:rsidRPr="00D86271" w:rsidRDefault="00982A19" w:rsidP="009F7770">
      <w:pPr>
        <w:widowControl w:val="0"/>
        <w:autoSpaceDE w:val="0"/>
        <w:autoSpaceDN w:val="0"/>
        <w:adjustRightInd w:val="0"/>
        <w:spacing w:line="480" w:lineRule="auto"/>
        <w:ind w:left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lastRenderedPageBreak/>
        <w:t>3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) 기도 평가</w:t>
      </w:r>
      <w:r w:rsidR="00E7422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(기능적 및 해부학적 </w:t>
      </w:r>
      <w:r w:rsidR="00453E80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요인으로 마스크 환기나 기관내삽관</w:t>
      </w:r>
      <w:r w:rsidR="009F7770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에 </w:t>
      </w:r>
      <w:r w:rsidR="00453E80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어려</w:t>
      </w:r>
      <w:r w:rsidR="009F7770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움을 제공할 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수 있는 </w:t>
      </w:r>
      <w:r w:rsidR="009F7770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위험인자</w:t>
      </w:r>
      <w:r w:rsidR="00247BB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파악</w:t>
      </w:r>
      <w:r w:rsidR="00E7422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)</w:t>
      </w:r>
    </w:p>
    <w:p w:rsidR="00D93088" w:rsidRDefault="00982A19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4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) </w:t>
      </w:r>
      <w:r w:rsidR="00D93088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과거 진정 및 마취 시 특이사항</w:t>
      </w:r>
    </w:p>
    <w:p w:rsidR="00AC10CA" w:rsidRPr="00D86271" w:rsidRDefault="00982A19" w:rsidP="009F7770">
      <w:pPr>
        <w:widowControl w:val="0"/>
        <w:autoSpaceDE w:val="0"/>
        <w:autoSpaceDN w:val="0"/>
        <w:adjustRightInd w:val="0"/>
        <w:spacing w:line="480" w:lineRule="auto"/>
        <w:ind w:left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5</w:t>
      </w:r>
      <w:r w:rsidR="00D93088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) </w:t>
      </w:r>
      <w:r w:rsidR="0050006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현재 약물 복용 상태 및 </w:t>
      </w:r>
      <w:r w:rsidR="00E042C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약제 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알레르기</w:t>
      </w:r>
      <w:r w:rsidR="00E042C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(계란, 대두[</w:t>
      </w:r>
      <w:r w:rsidR="00E042CF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soy</w:t>
      </w:r>
      <w:r w:rsidR="00E042C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E042CF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bean</w:t>
      </w:r>
      <w:r w:rsidR="00E042CF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], 땅콩 알레르기와 프로포폴 알레르기 반응은 무관함)</w:t>
      </w:r>
    </w:p>
    <w:p w:rsidR="00AC10CA" w:rsidRPr="00D86271" w:rsidRDefault="00982A19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6</w:t>
      </w:r>
      <w:r w:rsidR="00AC10CA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) 동반 심혈관계 및 호흡기 질환</w:t>
      </w:r>
    </w:p>
    <w:p w:rsidR="00500062" w:rsidRDefault="00982A19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7</w:t>
      </w:r>
      <w:r w:rsidR="0050006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) </w:t>
      </w:r>
      <w:proofErr w:type="spellStart"/>
      <w:r w:rsidR="0050006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가임기</w:t>
      </w:r>
      <w:proofErr w:type="spellEnd"/>
      <w:r w:rsidR="0050006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여성의 경우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현재 </w:t>
      </w:r>
      <w:r w:rsidR="0050006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임신 여부</w:t>
      </w:r>
    </w:p>
    <w:p w:rsidR="00AC10CA" w:rsidRDefault="00982A19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8</w:t>
      </w:r>
      <w:r w:rsidR="0050006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) 진정 처치 후 귀가 시 보호자 동행 여부</w:t>
      </w:r>
    </w:p>
    <w:p w:rsidR="00500062" w:rsidRPr="00500062" w:rsidRDefault="00500062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D65F07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3</w:t>
      </w:r>
      <w:r w:rsidR="00E72240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. </w:t>
      </w:r>
      <w:r w:rsidR="00247BB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영상학적 및 병리</w:t>
      </w:r>
      <w:r w:rsidR="00D65F07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검사</w:t>
      </w:r>
      <w:r w:rsidR="00247BB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(radiologic &amp; laboratory test)</w:t>
      </w:r>
      <w:r w:rsidR="00D65F07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는 </w:t>
      </w:r>
      <w:r w:rsidR="00247BB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모든 환자에서 </w:t>
      </w:r>
      <w:r w:rsidR="00247BBB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진정</w:t>
      </w:r>
      <w:r w:rsidR="00247BB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전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에</w:t>
      </w:r>
      <w:r w:rsidR="00247BB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일률적으로 시행할 필요가 없으며, </w:t>
      </w:r>
      <w:r w:rsidR="00D65F07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병력 청취 및 신체검진 결과에 따라 진정 관리에 영</w:t>
      </w:r>
      <w:r w:rsidR="00E72240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향</w:t>
      </w:r>
      <w:r w:rsidR="00D65F07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을 미칠 경우에 한하여 추가적으로 실시합니다.</w:t>
      </w:r>
    </w:p>
    <w:p w:rsidR="009F7770" w:rsidRPr="00D86271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E72240" w:rsidRPr="00D86271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4</w:t>
      </w:r>
      <w:r w:rsidR="00E72240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. 응급 처치가 아닌 이상은 전신마취와 동일한 수준의 금식 시간이 지켜져야 합니다</w:t>
      </w:r>
      <w:r w:rsidRPr="009F7770">
        <w:rPr>
          <w:rFonts w:asciiTheme="minorEastAsia" w:eastAsiaTheme="minorEastAsia" w:hAnsiTheme="minorEastAsia" w:cs="AdvTT31ea7dbe" w:hint="eastAsia"/>
          <w:b/>
          <w:color w:val="0000FF"/>
          <w:kern w:val="0"/>
          <w:szCs w:val="20"/>
        </w:rPr>
        <w:t>[표 3 참조]</w:t>
      </w:r>
      <w:r w:rsidR="00E72240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.</w:t>
      </w:r>
    </w:p>
    <w:p w:rsidR="009F7770" w:rsidRDefault="009F7770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9F7770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5</w:t>
      </w:r>
      <w:r w:rsidR="00E72240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. 프로포폴 진정의 이점, 위험성, 진정 후 일정 기간 운전을 포함한 집중력이 필요한 행동 제한, 및 다른 처치 대안들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(전통적 진정 방법 또는 마취통증의학과 전문의에 의한 진정 등)</w:t>
      </w:r>
      <w:r w:rsidR="00E72240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에 대한 설명을 반드시 제공하고 법적으로 적절한 동의를 취득해야 합니다.</w:t>
      </w:r>
    </w:p>
    <w:p w:rsidR="00D65F07" w:rsidRPr="00D86271" w:rsidRDefault="00E7224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D65F07" w:rsidRPr="00D86271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</w:p>
    <w:p w:rsidR="009F7770" w:rsidRPr="009F7770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0000FF"/>
          <w:kern w:val="0"/>
          <w:szCs w:val="20"/>
        </w:rPr>
      </w:pPr>
      <w:r w:rsidRPr="009F7770">
        <w:rPr>
          <w:rFonts w:asciiTheme="minorEastAsia" w:eastAsiaTheme="minorEastAsia" w:hAnsiTheme="minorEastAsia" w:cs="AdvTT31ea7dbe" w:hint="eastAsia"/>
          <w:b/>
          <w:color w:val="0000FF"/>
          <w:kern w:val="0"/>
          <w:szCs w:val="20"/>
        </w:rPr>
        <w:t>표 2. 미국마취과학회 신체상태분류법</w:t>
      </w:r>
    </w:p>
    <w:tbl>
      <w:tblPr>
        <w:tblStyle w:val="a6"/>
        <w:tblW w:w="0" w:type="auto"/>
        <w:jc w:val="center"/>
        <w:tblInd w:w="-73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8079"/>
      </w:tblGrid>
      <w:tr w:rsidR="009F7770" w:rsidRPr="009F7770" w:rsidTr="00EA74A4">
        <w:trPr>
          <w:jc w:val="center"/>
        </w:trPr>
        <w:tc>
          <w:tcPr>
            <w:tcW w:w="795" w:type="dxa"/>
            <w:tcBorders>
              <w:top w:val="single" w:sz="12" w:space="0" w:color="auto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lastRenderedPageBreak/>
              <w:t>1등급</w:t>
            </w:r>
          </w:p>
        </w:tc>
        <w:tc>
          <w:tcPr>
            <w:tcW w:w="8079" w:type="dxa"/>
            <w:tcBorders>
              <w:top w:val="single" w:sz="12" w:space="0" w:color="auto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수술을 필요로 하는 </w:t>
            </w:r>
            <w:proofErr w:type="spellStart"/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병소의</w:t>
            </w:r>
            <w:proofErr w:type="spellEnd"/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 진행과정을 포함하여 전신질환이 없는 건강한 환자</w:t>
            </w:r>
          </w:p>
        </w:tc>
      </w:tr>
      <w:tr w:rsidR="009F7770" w:rsidRPr="009F7770" w:rsidTr="00EA74A4">
        <w:trPr>
          <w:jc w:val="center"/>
        </w:trPr>
        <w:tc>
          <w:tcPr>
            <w:tcW w:w="795" w:type="dxa"/>
            <w:tcBorders>
              <w:top w:val="nil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2등급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수술질환이나 동반질환으로 경도나 중등도의 전신질환을 가진 환자</w:t>
            </w:r>
          </w:p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예) 합병증이 동반되지 않은 고혈압 또는 당뇨병 환자, 비만 환자</w:t>
            </w:r>
          </w:p>
        </w:tc>
      </w:tr>
      <w:tr w:rsidR="009F7770" w:rsidRPr="009F7770" w:rsidTr="00EA74A4">
        <w:trPr>
          <w:jc w:val="center"/>
        </w:trPr>
        <w:tc>
          <w:tcPr>
            <w:tcW w:w="795" w:type="dxa"/>
            <w:tcBorders>
              <w:top w:val="nil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3등급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일상생활에 제약을 주는 고도의 전신질환을 가진 환자</w:t>
            </w:r>
          </w:p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예) 안전성 협심증이 있는 환자, 일상생활에 장애를 줄 정도의 폐질환자 </w:t>
            </w:r>
          </w:p>
        </w:tc>
      </w:tr>
      <w:tr w:rsidR="009F7770" w:rsidRPr="009F7770" w:rsidTr="00EA74A4">
        <w:trPr>
          <w:jc w:val="center"/>
        </w:trPr>
        <w:tc>
          <w:tcPr>
            <w:tcW w:w="795" w:type="dxa"/>
            <w:tcBorders>
              <w:top w:val="nil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4등급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생명을 위협할 정도의 심한 전신질환을 가진 환자</w:t>
            </w:r>
          </w:p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예) 심한 심부전 환자, 불안전성 협심증 환자, 말기 신부전 환자</w:t>
            </w:r>
          </w:p>
        </w:tc>
      </w:tr>
      <w:tr w:rsidR="009F7770" w:rsidRPr="009F7770" w:rsidTr="00EA74A4">
        <w:trPr>
          <w:jc w:val="center"/>
        </w:trPr>
        <w:tc>
          <w:tcPr>
            <w:tcW w:w="795" w:type="dxa"/>
            <w:tcBorders>
              <w:top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5등급</w:t>
            </w:r>
          </w:p>
        </w:tc>
        <w:tc>
          <w:tcPr>
            <w:tcW w:w="8079" w:type="dxa"/>
            <w:tcBorders>
              <w:top w:val="nil"/>
            </w:tcBorders>
          </w:tcPr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예정된 수술에도 불구하고 24시간 이내 사망률이 50% 이상인 환자</w:t>
            </w:r>
          </w:p>
          <w:p w:rsidR="009F7770" w:rsidRPr="009F7770" w:rsidRDefault="009F7770" w:rsidP="009F777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예) </w:t>
            </w:r>
            <w:proofErr w:type="spellStart"/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무뇨</w:t>
            </w:r>
            <w:proofErr w:type="spellEnd"/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, 혼수 상태가 있으며 </w:t>
            </w:r>
            <w:proofErr w:type="spellStart"/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승압제</w:t>
            </w:r>
            <w:proofErr w:type="spellEnd"/>
            <w:r w:rsidRPr="009F7770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 xml:space="preserve"> 치료로 최저혈압을 겨우 유지하는 패혈증 환자</w:t>
            </w:r>
          </w:p>
        </w:tc>
      </w:tr>
    </w:tbl>
    <w:p w:rsidR="009F7770" w:rsidRPr="00B76727" w:rsidRDefault="009F7770" w:rsidP="009F7770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D86271" w:rsidRPr="009F7770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Garamond-Bold"/>
          <w:b/>
          <w:bCs/>
          <w:color w:val="0000FF"/>
          <w:kern w:val="0"/>
          <w:szCs w:val="20"/>
        </w:rPr>
      </w:pPr>
      <w:r w:rsidRPr="009F7770">
        <w:rPr>
          <w:rFonts w:asciiTheme="minorEastAsia" w:eastAsiaTheme="minorEastAsia" w:hAnsiTheme="minorEastAsia" w:cs="Garamond-Bold" w:hint="eastAsia"/>
          <w:b/>
          <w:bCs/>
          <w:color w:val="0000FF"/>
          <w:kern w:val="0"/>
          <w:szCs w:val="20"/>
        </w:rPr>
        <w:t xml:space="preserve">표 3. </w:t>
      </w:r>
      <w:r w:rsidR="00743916" w:rsidRPr="009F7770">
        <w:rPr>
          <w:rFonts w:asciiTheme="minorEastAsia" w:eastAsiaTheme="minorEastAsia" w:hAnsiTheme="minorEastAsia" w:cs="Garamond-Bold" w:hint="eastAsia"/>
          <w:b/>
          <w:bCs/>
          <w:color w:val="0000FF"/>
          <w:kern w:val="0"/>
          <w:szCs w:val="20"/>
        </w:rPr>
        <w:t>금식 시간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118"/>
      </w:tblGrid>
      <w:tr w:rsidR="009F7770" w:rsidRPr="009F7770" w:rsidTr="009F7770"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음식물 종류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금식 최소 시간</w:t>
            </w:r>
          </w:p>
        </w:tc>
      </w:tr>
      <w:tr w:rsidR="009F7770" w:rsidRPr="009F7770" w:rsidTr="009F7770">
        <w:tc>
          <w:tcPr>
            <w:tcW w:w="3061" w:type="dxa"/>
            <w:tcBorders>
              <w:top w:val="single" w:sz="12" w:space="0" w:color="auto"/>
            </w:tcBorders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proofErr w:type="spellStart"/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고형식</w:t>
            </w:r>
            <w:proofErr w:type="spellEnd"/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, 우유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6~8시간</w:t>
            </w:r>
          </w:p>
        </w:tc>
      </w:tr>
      <w:tr w:rsidR="009F7770" w:rsidRPr="009F7770" w:rsidTr="009F7770">
        <w:tc>
          <w:tcPr>
            <w:tcW w:w="3061" w:type="dxa"/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모유</w:t>
            </w:r>
          </w:p>
        </w:tc>
        <w:tc>
          <w:tcPr>
            <w:tcW w:w="3118" w:type="dxa"/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4시간</w:t>
            </w:r>
          </w:p>
        </w:tc>
      </w:tr>
      <w:tr w:rsidR="009F7770" w:rsidRPr="009F7770" w:rsidTr="009F7770">
        <w:tc>
          <w:tcPr>
            <w:tcW w:w="3061" w:type="dxa"/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깨끗한 소량의 물</w:t>
            </w:r>
          </w:p>
        </w:tc>
        <w:tc>
          <w:tcPr>
            <w:tcW w:w="3118" w:type="dxa"/>
          </w:tcPr>
          <w:p w:rsidR="00743916" w:rsidRPr="00EA74A4" w:rsidRDefault="00C11809" w:rsidP="00EA74A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Chars="100" w:firstLine="180"/>
              <w:jc w:val="center"/>
              <w:rPr>
                <w:rFonts w:asciiTheme="minorEastAsia" w:eastAsiaTheme="minorEastAsia" w:hAnsiTheme="minorEastAsia" w:cs="Garamond-Bold"/>
                <w:b/>
                <w:bCs/>
                <w:color w:val="0000FF"/>
                <w:kern w:val="0"/>
                <w:sz w:val="18"/>
                <w:szCs w:val="20"/>
              </w:rPr>
            </w:pPr>
            <w:r w:rsidRPr="00EA74A4">
              <w:rPr>
                <w:rFonts w:asciiTheme="minorEastAsia" w:eastAsiaTheme="minorEastAsia" w:hAnsiTheme="minorEastAsia" w:cs="Garamond-Bold" w:hint="eastAsia"/>
                <w:b/>
                <w:bCs/>
                <w:color w:val="0000FF"/>
                <w:kern w:val="0"/>
                <w:sz w:val="18"/>
                <w:szCs w:val="20"/>
              </w:rPr>
              <w:t>2시간</w:t>
            </w:r>
          </w:p>
        </w:tc>
      </w:tr>
    </w:tbl>
    <w:p w:rsidR="00743916" w:rsidRPr="00EA74A4" w:rsidRDefault="00C11809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Garamond-Bold"/>
          <w:b/>
          <w:bCs/>
          <w:color w:val="0000FF"/>
          <w:kern w:val="0"/>
          <w:sz w:val="18"/>
          <w:szCs w:val="20"/>
        </w:rPr>
      </w:pPr>
      <w:r w:rsidRPr="00EA74A4">
        <w:rPr>
          <w:rFonts w:asciiTheme="minorEastAsia" w:eastAsiaTheme="minorEastAsia" w:hAnsiTheme="minorEastAsia" w:cs="Garamond-Bold" w:hint="eastAsia"/>
          <w:b/>
          <w:bCs/>
          <w:color w:val="0000FF"/>
          <w:kern w:val="0"/>
          <w:sz w:val="18"/>
          <w:szCs w:val="20"/>
        </w:rPr>
        <w:t>상기 기준은 모든 연령대에 동일하게 적용.</w:t>
      </w:r>
    </w:p>
    <w:p w:rsidR="009F7770" w:rsidRDefault="009F7770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  <w:highlight w:val="yellow"/>
        </w:rPr>
      </w:pPr>
    </w:p>
    <w:p w:rsidR="00C11809" w:rsidRDefault="009F7770" w:rsidP="009F7770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진정 담당자</w:t>
      </w:r>
    </w:p>
    <w:p w:rsidR="00EB08DD" w:rsidRDefault="00EB08DD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프로포폴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로 유도되는 진정 깊이는 중등도 이상의 진정이므로, </w:t>
      </w:r>
      <w:r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진정 시 환자 상태를 감시하는 독립된 의료진(시술 또는 수술에는 참여하지 않는 간호사</w:t>
      </w:r>
      <w:r w:rsidR="009F7770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[간호조무사는 </w:t>
      </w:r>
      <w:r w:rsidR="004C13D7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향정신성 의약품을 취급할 수 없으므로 당연히 </w:t>
      </w:r>
      <w:r w:rsidR="009F7770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제외</w:t>
      </w:r>
      <w:r w:rsidR="004C13D7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됨</w:t>
      </w:r>
      <w:r w:rsidR="009F7770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]</w:t>
      </w:r>
      <w:r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 또는 의사)이 반드시 존재해야 합니다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. 시술 중 프로포폴의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lastRenderedPageBreak/>
        <w:t>투여는 시술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또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는 수술 담당 의사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의 지시로 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간호사가 투여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가능하지만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,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환자의 진정 깊이와 호흡, 산소화, 심혈관 기능을 지속적으로 감시 가능한 의료진은 반드시 시술 중과 시술 후 퇴실 기준을 충족할 때까지 환자 옆에 존재하여야 합니다.</w:t>
      </w:r>
      <w:r w:rsidR="0089660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또한 </w:t>
      </w:r>
      <w:r w:rsidR="0089660D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해당 의료진의 경우 사전에 적절히 프로포폴 진정 관련 의학적 지식 및 수기 교육 프로그램을 이수하여야 합니다. </w:t>
      </w:r>
    </w:p>
    <w:p w:rsidR="004C13D7" w:rsidRDefault="004C13D7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EB08DD" w:rsidRDefault="00083539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시술 또는 수술의 침습도, 환자의 진정 관련 위험인자, 및 시술자의 임상 능력과 경험에 따라 종합적으로 판단하여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,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BD5D5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필요할 경우 마취통증의학과 전문의에 의한 프로포폴 진정을 의뢰할 필요가 있습니다.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BD5D5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아래의 경우가 대체적으로 받아들여지는 마취통증의학과 전문의에 의한 프로포폴 진정의 </w:t>
      </w:r>
      <w:proofErr w:type="spellStart"/>
      <w:r w:rsidR="00BD5D5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적응증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들</w:t>
      </w:r>
      <w:r w:rsidR="00BD5D5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입니다</w:t>
      </w:r>
      <w:proofErr w:type="spellEnd"/>
      <w:r w:rsidR="00BD5D5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.</w:t>
      </w:r>
    </w:p>
    <w:p w:rsidR="00BD5D5C" w:rsidRDefault="00BD5D5C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 w:rsidRPr="00BD5D5C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1)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미국마취과학회 신체상태 분류법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에서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3등급 이상</w:t>
      </w:r>
    </w:p>
    <w:p w:rsidR="00BD5D5C" w:rsidRDefault="00BD5D5C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2) 장시간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또는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침습도가 높은 시술 또는 수술 시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의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깊은 진정</w:t>
      </w:r>
    </w:p>
    <w:p w:rsidR="00BD5D5C" w:rsidRDefault="00BD5D5C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3) 기도폐쇄 또는 기관내삽관이 어려울 것으로 예측되는 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위험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인자를 가진 환자</w:t>
      </w:r>
    </w:p>
    <w:p w:rsidR="00E74222" w:rsidRPr="00BD5D5C" w:rsidRDefault="00BD5D5C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4) 과거 진정 또는 마취 시 부작용 경험 환자</w:t>
      </w:r>
    </w:p>
    <w:p w:rsidR="00EB08DD" w:rsidRDefault="00EB08DD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 </w:t>
      </w:r>
    </w:p>
    <w:p w:rsidR="007053B1" w:rsidRDefault="004C13D7" w:rsidP="004C13D7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프로포폴 진정 시술 방법</w:t>
      </w:r>
    </w:p>
    <w:p w:rsidR="004C13D7" w:rsidRDefault="007053B1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흔히 사용되는 </w:t>
      </w: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투여법은</w:t>
      </w:r>
      <w:proofErr w:type="spellEnd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환자의 반응에 따라 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프로포폴을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간헐적으로 투여하는 방법</w:t>
      </w:r>
      <w:r w:rsidR="00131F93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(intermittent bolus injection)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이며, TCI</w:t>
      </w:r>
      <w:r w:rsidR="00131F93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(target</w:t>
      </w:r>
      <w:r w:rsidR="003E35FE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-</w:t>
      </w:r>
      <w:r w:rsidR="00131F93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controlled infusion)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or Syringe pump를 이용하여 지속 정주하는 방법 역시 안전성과 효율성 면에서 간헐적 정주법과 </w:t>
      </w:r>
      <w:r w:rsidR="00131F93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차이가</w:t>
      </w:r>
      <w:r w:rsidR="00131F93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없습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니다. </w:t>
      </w:r>
    </w:p>
    <w:p w:rsidR="004C13D7" w:rsidRDefault="004C13D7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4C13D7" w:rsidRDefault="007053B1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환자의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체중/신장 또는 </w:t>
      </w:r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특정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시술에 따라 정해진 </w:t>
      </w:r>
      <w:r w:rsid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진정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유도 용량 및 시간 당 총 </w:t>
      </w: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투여량은</w:t>
      </w:r>
      <w:proofErr w:type="spellEnd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lastRenderedPageBreak/>
        <w:t xml:space="preserve">없습니다. </w:t>
      </w:r>
      <w:r w:rsidRP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  <w:u w:val="single"/>
        </w:rPr>
        <w:t>환자의</w:t>
      </w:r>
      <w:r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 체중/신장에 근거하여 사전 계산된 유도 용량을 한꺼번에 투여하는 방법보다는 1 mg/kg 또는 </w:t>
      </w:r>
      <w:r w:rsidR="009169B7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2</w:t>
      </w:r>
      <w:r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0~</w:t>
      </w:r>
      <w:r w:rsidR="00947729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5</w:t>
      </w:r>
      <w:r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0 </w:t>
      </w:r>
      <w:r w:rsidRP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  <w:u w:val="single"/>
        </w:rPr>
        <w:t>mg을</w:t>
      </w:r>
      <w:r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 투여한 후 환자 반응을 보며 추가적으로 10~20 mg을 추가적으로 반복 투여하는 진정 유도 방법이 보다 안전합니다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. 즉, </w:t>
      </w:r>
      <w:r w:rsid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원하는 진정 깊이에 필요한 최소한의 유도 용량</w:t>
      </w:r>
      <w:r w:rsid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”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을 투여하는 것이 가장 안전하며, 추가 반복 투여 시에는 각각의 용량 투여 후 일정 시간</w:t>
      </w:r>
      <w:r w:rsidR="00083539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(대개 20~30초)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환자 반응을 평가하는 기간을 가져야 합니다. 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이후 </w:t>
      </w:r>
      <w:r w:rsidR="009D4814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>진정 유지 시에도 환자의 진정 깊이나 예상되는 시술의 통증 유발 정도에 따라 10~20 mg</w:t>
      </w:r>
      <w:r w:rsidR="009D4814" w:rsidRP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  <w:u w:val="single"/>
        </w:rPr>
        <w:t>을</w:t>
      </w:r>
      <w:r w:rsidR="009D4814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 </w:t>
      </w:r>
      <w:r w:rsidR="009D4814" w:rsidRPr="00EA74A4">
        <w:rPr>
          <w:rFonts w:asciiTheme="minorEastAsia" w:eastAsiaTheme="minorEastAsia" w:hAnsiTheme="minorEastAsia" w:cs="AdvTT31ea7dbe"/>
          <w:b/>
          <w:color w:val="231F20"/>
          <w:kern w:val="0"/>
          <w:szCs w:val="20"/>
          <w:u w:val="single"/>
        </w:rPr>
        <w:t>반복</w:t>
      </w:r>
      <w:r w:rsidR="009D4814" w:rsidRPr="00EA74A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u w:val="single"/>
        </w:rPr>
        <w:t xml:space="preserve"> 투여합니다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. 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내시경 시술 의사들 사이에 통용되는 </w:t>
      </w:r>
      <w:r w:rsidR="006B41A6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“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20-20 </w:t>
      </w:r>
      <w:r w:rsidR="006B41A6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rule”이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6B41A6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좋은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투여 방법 중 하나입니다(</w:t>
      </w:r>
      <w:r w:rsidR="006B41A6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일회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투여 용량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은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20 mg을 넘지 않으며, 각 </w:t>
      </w:r>
      <w:proofErr w:type="spellStart"/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투여량</w:t>
      </w:r>
      <w:proofErr w:type="spellEnd"/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사이 간격을 20초 이상을 유지하는 방법임). 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지속 정주의 경우 진정 유지 시 시간 당 100~200 mg </w:t>
      </w:r>
      <w:r w:rsidR="009D4814"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  <w:t>정도가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통상적으로 투여되나, 개별 환자 및 시술</w:t>
      </w:r>
      <w:r w:rsidR="006B41A6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또는 수술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내용에 따라 지속정주 속도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는 다양하며, 시술 중 계속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환자의 상태에 따라 </w:t>
      </w:r>
      <w:r w:rsidR="009D4814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조절하여야 합니다. </w:t>
      </w:r>
    </w:p>
    <w:p w:rsidR="004C13D7" w:rsidRDefault="004C13D7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/>
          <w:b/>
          <w:color w:val="231F20"/>
          <w:kern w:val="0"/>
          <w:szCs w:val="20"/>
        </w:rPr>
      </w:pPr>
    </w:p>
    <w:p w:rsidR="00EB08DD" w:rsidRDefault="009D4814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미다졸람</w:t>
      </w:r>
      <w:proofErr w:type="spellEnd"/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(0.5~2.5 mg)이나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마약성</w:t>
      </w:r>
      <w:proofErr w:type="spellEnd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진통제</w:t>
      </w:r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(펜타닐 [25~75 </w:t>
      </w:r>
      <w:r w:rsidR="00112932">
        <w:rPr>
          <w:rFonts w:ascii="Arial" w:eastAsiaTheme="minorEastAsia" w:hAnsi="Arial" w:cs="Arial"/>
          <w:b/>
          <w:color w:val="231F20"/>
          <w:kern w:val="0"/>
          <w:szCs w:val="20"/>
        </w:rPr>
        <w:t>µ</w:t>
      </w:r>
      <w:r w:rsidR="00112932">
        <w:rPr>
          <w:rFonts w:ascii="Arial" w:eastAsiaTheme="minorEastAsia" w:hAnsi="Arial" w:cs="Arial" w:hint="eastAsia"/>
          <w:b/>
          <w:color w:val="231F20"/>
          <w:kern w:val="0"/>
          <w:szCs w:val="20"/>
        </w:rPr>
        <w:t>g]</w:t>
      </w:r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또는 </w:t>
      </w:r>
      <w:proofErr w:type="spellStart"/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데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메</w:t>
      </w:r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롤</w:t>
      </w:r>
      <w:proofErr w:type="spellEnd"/>
      <w:r w:rsidR="0011293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[25~50 mg])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가 동반 사용될 경우 프로포폴 </w:t>
      </w:r>
      <w:proofErr w:type="spellStart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투여량을</w:t>
      </w:r>
      <w:proofErr w:type="spellEnd"/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줄여야 호흡억제 및 심혈관계 부작용을 줄일 수 있습니다.</w:t>
      </w:r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또한 노인 환자나 </w:t>
      </w:r>
      <w:proofErr w:type="spellStart"/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>저혈량증</w:t>
      </w:r>
      <w:proofErr w:type="spellEnd"/>
      <w:r w:rsidR="004C13D7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 환자에서도 투여 용량을 줄여야 합니다. </w:t>
      </w:r>
    </w:p>
    <w:p w:rsidR="00EC414B" w:rsidRDefault="00EC414B" w:rsidP="004F68F6">
      <w:pPr>
        <w:widowControl w:val="0"/>
        <w:autoSpaceDE w:val="0"/>
        <w:autoSpaceDN w:val="0"/>
        <w:adjustRightInd w:val="0"/>
        <w:spacing w:line="480" w:lineRule="auto"/>
        <w:ind w:firstLineChars="100" w:firstLine="200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</w:p>
    <w:p w:rsidR="00EC414B" w:rsidRDefault="00EC414B" w:rsidP="00EC414B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 w:rsidRP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참</w:t>
      </w:r>
      <w:r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고</w:t>
      </w:r>
      <w:r w:rsidRPr="00EC414B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  <w:highlight w:val="yellow"/>
        </w:rPr>
        <w:t>문헌</w:t>
      </w:r>
    </w:p>
    <w:p w:rsidR="004D6B24" w:rsidRPr="004D6B24" w:rsidRDefault="00EC414B" w:rsidP="004D6B24">
      <w:pPr>
        <w:shd w:val="clear" w:color="auto" w:fill="FFFFFF"/>
        <w:spacing w:line="480" w:lineRule="auto"/>
        <w:rPr>
          <w:rFonts w:asciiTheme="minorEastAsia" w:eastAsiaTheme="minorEastAsia" w:hAnsiTheme="minorEastAsia" w:cs="Arial"/>
          <w:b/>
          <w:kern w:val="0"/>
          <w:szCs w:val="20"/>
        </w:rPr>
      </w:pPr>
      <w:r w:rsidRPr="004D6B24">
        <w:rPr>
          <w:rFonts w:asciiTheme="minorEastAsia" w:eastAsiaTheme="minorEastAsia" w:hAnsiTheme="minorEastAsia" w:cs="AdvTT31ea7dbe" w:hint="eastAsia"/>
          <w:b/>
          <w:kern w:val="0"/>
          <w:szCs w:val="20"/>
        </w:rPr>
        <w:t>1.</w:t>
      </w:r>
      <w:r w:rsidRPr="004D6B24">
        <w:rPr>
          <w:rFonts w:asciiTheme="minorEastAsia" w:eastAsiaTheme="minorEastAsia" w:hAnsiTheme="minorEastAsia" w:cs="AdvTT31ea7dbe"/>
          <w:b/>
          <w:kern w:val="0"/>
          <w:szCs w:val="20"/>
        </w:rPr>
        <w:t xml:space="preserve">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Dumonceau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JM,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Riphaus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A,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Aparicio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JR,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Beilenhoff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U,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Knape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JT,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Ortmann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M,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Paspatis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G,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Ponsioen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CY,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Racz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I, Schreiber F,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Vilmann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P,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Wehrmann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T, </w:t>
      </w:r>
      <w:hyperlink r:id="rId8" w:history="1"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>Wientjes C</w:t>
        </w:r>
      </w:hyperlink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Walder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B; NAAP Task Force Members.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bCs/>
          <w:kern w:val="36"/>
          <w:szCs w:val="20"/>
        </w:rPr>
        <w:t xml:space="preserve">European Society of Gastrointestinal Endoscopy, European Society of Gastroenterology and Endoscopy Nurses and Associates, and the European Society of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bCs/>
          <w:kern w:val="36"/>
          <w:szCs w:val="20"/>
        </w:rPr>
        <w:lastRenderedPageBreak/>
        <w:t>Anaesthesiology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bCs/>
          <w:kern w:val="36"/>
          <w:szCs w:val="20"/>
        </w:rPr>
        <w:t xml:space="preserve"> Guideline: Non-anesthesiologist administration of propofol for GI endoscopy.</w:t>
      </w:r>
      <w:r w:rsidR="004D6B24">
        <w:rPr>
          <w:rFonts w:asciiTheme="minorEastAsia" w:eastAsiaTheme="minorEastAsia" w:hAnsiTheme="minorEastAsia" w:cs="Arial" w:hint="eastAsia"/>
          <w:b/>
          <w:bCs/>
          <w:kern w:val="36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Endoscopy 2010;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42: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960-74.</w:t>
      </w:r>
    </w:p>
    <w:p w:rsidR="004D6B24" w:rsidRPr="004D6B24" w:rsidRDefault="004D6B24" w:rsidP="004D6B24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rial"/>
          <w:b/>
          <w:kern w:val="0"/>
          <w:szCs w:val="20"/>
        </w:rPr>
      </w:pPr>
      <w:r w:rsidRPr="004D6B24">
        <w:rPr>
          <w:rFonts w:asciiTheme="minorEastAsia" w:eastAsiaTheme="minorEastAsia" w:hAnsiTheme="minorEastAsia" w:cs="Arial" w:hint="eastAsia"/>
          <w:b/>
          <w:bCs/>
          <w:kern w:val="36"/>
          <w:szCs w:val="20"/>
        </w:rPr>
        <w:t xml:space="preserve">2.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American Society of Anesthesiologists Task Force on Sedation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and Analgesia by Non-Anesthesiologists. Practice guidelines for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sedation and analgesia by non-anesthesiologists. Anesthesiology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2002;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96: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1004–17.</w:t>
      </w:r>
    </w:p>
    <w:p w:rsidR="004D6B24" w:rsidRPr="005073AA" w:rsidRDefault="004D6B24" w:rsidP="005073AA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dvPTimes" w:hint="eastAsia"/>
          <w:b/>
          <w:kern w:val="0"/>
          <w:szCs w:val="20"/>
        </w:rPr>
      </w:pP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3.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Standards of Practice Committee of the American Society of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Gastrointestinal endoscopy, Lichtenstein DR, </w:t>
      </w:r>
      <w:proofErr w:type="spell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Jagannath</w:t>
      </w:r>
      <w:proofErr w:type="spellEnd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 S, Baron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TH, Anderson MA, Banerjee S, </w:t>
      </w:r>
      <w:proofErr w:type="spell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Dominitz</w:t>
      </w:r>
      <w:proofErr w:type="spellEnd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 JA, </w:t>
      </w:r>
      <w:proofErr w:type="spell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Fanelli</w:t>
      </w:r>
      <w:proofErr w:type="spellEnd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 RD, </w:t>
      </w:r>
      <w:proofErr w:type="spell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Gan</w:t>
      </w:r>
      <w:proofErr w:type="spellEnd"/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SI, Harrison ME, </w:t>
      </w:r>
      <w:proofErr w:type="spell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Ikenberry</w:t>
      </w:r>
      <w:proofErr w:type="spellEnd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 SO, Shen B, Stewart L, Khan K,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proofErr w:type="spell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Vargo</w:t>
      </w:r>
      <w:proofErr w:type="spellEnd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 JJ. </w:t>
      </w:r>
      <w:proofErr w:type="gramStart"/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>Sedation and a</w:t>
      </w:r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>nesthesia in GI endoscopy.</w:t>
      </w:r>
      <w:proofErr w:type="gramEnd"/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 xml:space="preserve"> </w:t>
      </w:r>
      <w:proofErr w:type="spellStart"/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>Gastrointest</w:t>
      </w:r>
      <w:proofErr w:type="spellEnd"/>
      <w:r w:rsidRPr="005073AA"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proofErr w:type="spellStart"/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>Endosc</w:t>
      </w:r>
      <w:proofErr w:type="spellEnd"/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 xml:space="preserve"> 2008;</w:t>
      </w:r>
      <w:r w:rsidRPr="005073AA"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>68:</w:t>
      </w:r>
      <w:r w:rsidRPr="005073AA"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 </w:t>
      </w:r>
      <w:r w:rsidRPr="005073AA">
        <w:rPr>
          <w:rFonts w:asciiTheme="minorEastAsia" w:eastAsiaTheme="minorEastAsia" w:hAnsiTheme="minorEastAsia" w:cs="AdvPTimes"/>
          <w:b/>
          <w:kern w:val="0"/>
          <w:szCs w:val="20"/>
        </w:rPr>
        <w:t>815–26.</w:t>
      </w:r>
    </w:p>
    <w:p w:rsidR="005073AA" w:rsidRPr="005073AA" w:rsidRDefault="005073AA" w:rsidP="005073AA">
      <w:pPr>
        <w:shd w:val="clear" w:color="auto" w:fill="FFFFFF"/>
        <w:spacing w:before="240" w:after="120" w:line="480" w:lineRule="auto"/>
        <w:outlineLvl w:val="0"/>
        <w:rPr>
          <w:rFonts w:asciiTheme="minorEastAsia" w:eastAsiaTheme="minorEastAsia" w:hAnsiTheme="minorEastAsia" w:cs="Arial"/>
          <w:b/>
          <w:kern w:val="0"/>
          <w:szCs w:val="20"/>
        </w:rPr>
      </w:pPr>
      <w:r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4. </w:t>
      </w:r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 xml:space="preserve">Cohen LB, </w:t>
      </w:r>
      <w:proofErr w:type="spellStart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Delegge</w:t>
      </w:r>
      <w:proofErr w:type="spellEnd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 xml:space="preserve"> MH, </w:t>
      </w:r>
      <w:proofErr w:type="spellStart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Aisenberg</w:t>
      </w:r>
      <w:proofErr w:type="spellEnd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 xml:space="preserve"> J, Brill JV, </w:t>
      </w:r>
      <w:proofErr w:type="spellStart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Inadomi</w:t>
      </w:r>
      <w:proofErr w:type="spellEnd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 xml:space="preserve"> JM, </w:t>
      </w:r>
      <w:proofErr w:type="spellStart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Kochman</w:t>
      </w:r>
      <w:proofErr w:type="spellEnd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 xml:space="preserve"> ML, </w:t>
      </w:r>
      <w:proofErr w:type="spellStart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Piorkowski</w:t>
      </w:r>
      <w:proofErr w:type="spellEnd"/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 xml:space="preserve"> JD Jr; AGA Institute.</w:t>
      </w:r>
      <w:r w:rsidRPr="005073AA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proofErr w:type="gramStart"/>
      <w:r w:rsidRPr="005073AA">
        <w:rPr>
          <w:rFonts w:asciiTheme="minorEastAsia" w:eastAsiaTheme="minorEastAsia" w:hAnsiTheme="minorEastAsia" w:cs="Arial"/>
          <w:b/>
          <w:bCs/>
          <w:kern w:val="36"/>
          <w:szCs w:val="20"/>
        </w:rPr>
        <w:t>AGA Institute review of endoscopic sedation.</w:t>
      </w:r>
      <w:proofErr w:type="gramEnd"/>
      <w:r w:rsidRPr="005073AA">
        <w:rPr>
          <w:rFonts w:asciiTheme="minorEastAsia" w:eastAsiaTheme="minorEastAsia" w:hAnsiTheme="minorEastAsia" w:cs="Arial" w:hint="eastAsia"/>
          <w:b/>
          <w:bCs/>
          <w:kern w:val="36"/>
          <w:szCs w:val="20"/>
        </w:rPr>
        <w:t xml:space="preserve"> </w:t>
      </w:r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Gastroenterology 2007;</w:t>
      </w:r>
      <w:r w:rsidRPr="005073AA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133:</w:t>
      </w:r>
      <w:r w:rsidRPr="005073AA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Pr="005073AA">
        <w:rPr>
          <w:rFonts w:asciiTheme="minorEastAsia" w:eastAsiaTheme="minorEastAsia" w:hAnsiTheme="minorEastAsia" w:cs="Arial"/>
          <w:b/>
          <w:kern w:val="0"/>
          <w:szCs w:val="20"/>
        </w:rPr>
        <w:t>675-701.</w:t>
      </w:r>
    </w:p>
    <w:p w:rsidR="005073AA" w:rsidRPr="005073AA" w:rsidRDefault="005073AA" w:rsidP="005073AA">
      <w:pPr>
        <w:pStyle w:val="desc2"/>
        <w:shd w:val="clear" w:color="auto" w:fill="FFFFFF"/>
        <w:spacing w:line="480" w:lineRule="auto"/>
        <w:rPr>
          <w:rFonts w:asciiTheme="minorEastAsia" w:eastAsiaTheme="minorEastAsia" w:hAnsiTheme="minorEastAsia" w:cs="Arial"/>
          <w:b/>
          <w:sz w:val="20"/>
          <w:szCs w:val="20"/>
        </w:rPr>
      </w:pPr>
      <w:r w:rsidRPr="005073AA">
        <w:rPr>
          <w:rFonts w:asciiTheme="minorEastAsia" w:eastAsiaTheme="minorEastAsia" w:hAnsiTheme="minorEastAsia" w:cs="Arial" w:hint="eastAsia"/>
          <w:b/>
          <w:sz w:val="20"/>
          <w:szCs w:val="20"/>
        </w:rPr>
        <w:t xml:space="preserve">5. </w:t>
      </w:r>
      <w:r w:rsidRPr="005073AA">
        <w:rPr>
          <w:rFonts w:asciiTheme="minorEastAsia" w:eastAsiaTheme="minorEastAsia" w:hAnsiTheme="minorEastAsia" w:cs="Arial"/>
          <w:b/>
          <w:bCs/>
          <w:sz w:val="20"/>
          <w:szCs w:val="20"/>
        </w:rPr>
        <w:t>Training</w:t>
      </w:r>
      <w:r w:rsidRPr="005073AA">
        <w:rPr>
          <w:rFonts w:asciiTheme="minorEastAsia" w:eastAsiaTheme="minorEastAsia" w:hAnsiTheme="minorEastAsia" w:cs="Arial"/>
          <w:b/>
          <w:sz w:val="20"/>
          <w:szCs w:val="20"/>
        </w:rPr>
        <w:t xml:space="preserve"> Committee. </w:t>
      </w:r>
      <w:proofErr w:type="gramStart"/>
      <w:r w:rsidRPr="005073AA">
        <w:rPr>
          <w:rFonts w:asciiTheme="minorEastAsia" w:eastAsiaTheme="minorEastAsia" w:hAnsiTheme="minorEastAsia" w:cs="Arial"/>
          <w:b/>
          <w:sz w:val="20"/>
          <w:szCs w:val="20"/>
        </w:rPr>
        <w:t>American Society for Gastrointestinal Endoscopy.</w:t>
      </w:r>
      <w:proofErr w:type="gramEnd"/>
      <w:r w:rsidRPr="005073AA">
        <w:rPr>
          <w:rFonts w:asciiTheme="minorEastAsia" w:eastAsiaTheme="minorEastAsia" w:hAnsiTheme="minorEastAsia" w:cs="Arial" w:hint="eastAsia"/>
          <w:b/>
          <w:sz w:val="20"/>
          <w:szCs w:val="20"/>
        </w:rPr>
        <w:t xml:space="preserve"> </w:t>
      </w:r>
      <w:hyperlink r:id="rId9" w:history="1">
        <w:proofErr w:type="gramStart"/>
        <w:r w:rsidRPr="005073AA">
          <w:rPr>
            <w:rFonts w:asciiTheme="minorEastAsia" w:eastAsiaTheme="minorEastAsia" w:hAnsiTheme="minorEastAsia" w:cs="Arial"/>
            <w:b/>
            <w:bCs/>
            <w:sz w:val="20"/>
            <w:szCs w:val="20"/>
          </w:rPr>
          <w:t>Training</w:t>
        </w:r>
        <w:r w:rsidRPr="005073AA">
          <w:rPr>
            <w:rFonts w:asciiTheme="minorEastAsia" w:eastAsiaTheme="minorEastAsia" w:hAnsiTheme="minorEastAsia" w:cs="Arial"/>
            <w:b/>
            <w:sz w:val="20"/>
            <w:szCs w:val="20"/>
          </w:rPr>
          <w:t xml:space="preserve"> </w:t>
        </w:r>
        <w:r w:rsidRPr="005073AA">
          <w:rPr>
            <w:rFonts w:asciiTheme="minorEastAsia" w:eastAsiaTheme="minorEastAsia" w:hAnsiTheme="minorEastAsia" w:cs="Arial"/>
            <w:b/>
            <w:bCs/>
            <w:sz w:val="20"/>
            <w:szCs w:val="20"/>
          </w:rPr>
          <w:t>guideline</w:t>
        </w:r>
        <w:r w:rsidRPr="005073AA">
          <w:rPr>
            <w:rFonts w:asciiTheme="minorEastAsia" w:eastAsiaTheme="minorEastAsia" w:hAnsiTheme="minorEastAsia" w:cs="Arial"/>
            <w:b/>
            <w:sz w:val="20"/>
            <w:szCs w:val="20"/>
          </w:rPr>
          <w:t xml:space="preserve"> for use of </w:t>
        </w:r>
        <w:r w:rsidRPr="005073AA">
          <w:rPr>
            <w:rFonts w:asciiTheme="minorEastAsia" w:eastAsiaTheme="minorEastAsia" w:hAnsiTheme="minorEastAsia" w:cs="Arial"/>
            <w:b/>
            <w:bCs/>
            <w:sz w:val="20"/>
            <w:szCs w:val="20"/>
          </w:rPr>
          <w:t>propofol</w:t>
        </w:r>
        <w:r w:rsidRPr="005073AA">
          <w:rPr>
            <w:rFonts w:asciiTheme="minorEastAsia" w:eastAsiaTheme="minorEastAsia" w:hAnsiTheme="minorEastAsia" w:cs="Arial"/>
            <w:b/>
            <w:sz w:val="20"/>
            <w:szCs w:val="20"/>
          </w:rPr>
          <w:t xml:space="preserve"> in gastrointestinal endoscopy.</w:t>
        </w:r>
        <w:proofErr w:type="gramEnd"/>
      </w:hyperlink>
      <w:r>
        <w:rPr>
          <w:rFonts w:asciiTheme="minorEastAsia" w:eastAsiaTheme="minorEastAsia" w:hAnsiTheme="minorEastAsia" w:cs="Arial" w:hint="eastAsia"/>
          <w:b/>
          <w:sz w:val="20"/>
          <w:szCs w:val="20"/>
        </w:rPr>
        <w:t xml:space="preserve"> </w:t>
      </w:r>
      <w:proofErr w:type="spellStart"/>
      <w:r w:rsidRPr="005073AA">
        <w:rPr>
          <w:rStyle w:val="jrnl"/>
          <w:rFonts w:asciiTheme="minorEastAsia" w:eastAsiaTheme="minorEastAsia" w:hAnsiTheme="minorEastAsia" w:cs="Arial"/>
          <w:b/>
          <w:sz w:val="20"/>
          <w:szCs w:val="20"/>
        </w:rPr>
        <w:t>Gastrointest</w:t>
      </w:r>
      <w:proofErr w:type="spellEnd"/>
      <w:r w:rsidRPr="005073AA">
        <w:rPr>
          <w:rStyle w:val="jrnl"/>
          <w:rFonts w:asciiTheme="minorEastAsia" w:eastAsiaTheme="minorEastAsia" w:hAnsiTheme="minorEastAsia" w:cs="Arial"/>
          <w:b/>
          <w:sz w:val="20"/>
          <w:szCs w:val="20"/>
        </w:rPr>
        <w:t xml:space="preserve"> </w:t>
      </w:r>
      <w:proofErr w:type="spellStart"/>
      <w:r w:rsidRPr="005073AA">
        <w:rPr>
          <w:rStyle w:val="jrnl"/>
          <w:rFonts w:asciiTheme="minorEastAsia" w:eastAsiaTheme="minorEastAsia" w:hAnsiTheme="minorEastAsia" w:cs="Arial"/>
          <w:b/>
          <w:sz w:val="20"/>
          <w:szCs w:val="20"/>
        </w:rPr>
        <w:t>Endosc</w:t>
      </w:r>
      <w:proofErr w:type="spellEnd"/>
      <w:r w:rsidRPr="005073AA">
        <w:rPr>
          <w:rFonts w:asciiTheme="minorEastAsia" w:eastAsiaTheme="minorEastAsia" w:hAnsiTheme="minorEastAsia" w:cs="Arial"/>
          <w:b/>
          <w:sz w:val="20"/>
          <w:szCs w:val="20"/>
        </w:rPr>
        <w:t xml:space="preserve"> 2004;</w:t>
      </w:r>
      <w:r>
        <w:rPr>
          <w:rFonts w:asciiTheme="minorEastAsia" w:eastAsiaTheme="minorEastAsia" w:hAnsiTheme="minorEastAsia" w:cs="Arial" w:hint="eastAsia"/>
          <w:b/>
          <w:sz w:val="20"/>
          <w:szCs w:val="20"/>
        </w:rPr>
        <w:t xml:space="preserve"> </w:t>
      </w:r>
      <w:r w:rsidRPr="005073AA">
        <w:rPr>
          <w:rFonts w:asciiTheme="minorEastAsia" w:eastAsiaTheme="minorEastAsia" w:hAnsiTheme="minorEastAsia" w:cs="Arial"/>
          <w:b/>
          <w:sz w:val="20"/>
          <w:szCs w:val="20"/>
        </w:rPr>
        <w:t>60:</w:t>
      </w:r>
      <w:r>
        <w:rPr>
          <w:rFonts w:asciiTheme="minorEastAsia" w:eastAsiaTheme="minorEastAsia" w:hAnsiTheme="minorEastAsia" w:cs="Arial" w:hint="eastAsia"/>
          <w:b/>
          <w:sz w:val="20"/>
          <w:szCs w:val="20"/>
        </w:rPr>
        <w:t xml:space="preserve"> </w:t>
      </w:r>
      <w:r w:rsidRPr="005073AA">
        <w:rPr>
          <w:rFonts w:asciiTheme="minorEastAsia" w:eastAsiaTheme="minorEastAsia" w:hAnsiTheme="minorEastAsia" w:cs="Arial"/>
          <w:b/>
          <w:sz w:val="20"/>
          <w:szCs w:val="20"/>
        </w:rPr>
        <w:t>167-72</w:t>
      </w:r>
      <w:r>
        <w:rPr>
          <w:rFonts w:asciiTheme="minorEastAsia" w:eastAsiaTheme="minorEastAsia" w:hAnsiTheme="minorEastAsia" w:cs="Arial" w:hint="eastAsia"/>
          <w:b/>
          <w:sz w:val="20"/>
          <w:szCs w:val="20"/>
        </w:rPr>
        <w:t>.</w:t>
      </w:r>
    </w:p>
    <w:p w:rsidR="004D6B24" w:rsidRPr="004D6B24" w:rsidRDefault="005073AA" w:rsidP="005073AA">
      <w:pPr>
        <w:widowControl w:val="0"/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Arial"/>
          <w:b/>
          <w:kern w:val="0"/>
          <w:szCs w:val="20"/>
        </w:rPr>
      </w:pP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>6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.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Godwin SA, Burton JH, Gerardo CJ,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Hatten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BW, Mace SE, Silvers SM,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Fesmire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FM; American College of Emergency Physicians.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bCs/>
          <w:kern w:val="36"/>
          <w:szCs w:val="20"/>
        </w:rPr>
        <w:t>Clinical policy: procedural sedation and analgesia in the emergency department.</w:t>
      </w:r>
      <w:r w:rsidR="004D6B24">
        <w:rPr>
          <w:rFonts w:asciiTheme="minorEastAsia" w:eastAsiaTheme="minorEastAsia" w:hAnsiTheme="minorEastAsia" w:cs="Arial" w:hint="eastAsia"/>
          <w:b/>
          <w:bCs/>
          <w:kern w:val="36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Ann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Emerg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Med 2014;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63:</w:t>
      </w:r>
      <w:r w:rsid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247-58.</w:t>
      </w:r>
    </w:p>
    <w:p w:rsidR="004D6B24" w:rsidRDefault="005073AA" w:rsidP="004D6B24">
      <w:pPr>
        <w:shd w:val="clear" w:color="auto" w:fill="FFFFFF"/>
        <w:spacing w:line="480" w:lineRule="auto"/>
        <w:rPr>
          <w:rFonts w:asciiTheme="minorEastAsia" w:eastAsiaTheme="minorEastAsia" w:hAnsiTheme="minorEastAsia" w:cs="Arial" w:hint="eastAsia"/>
          <w:b/>
          <w:kern w:val="0"/>
          <w:szCs w:val="20"/>
        </w:rPr>
      </w:pPr>
      <w:r>
        <w:rPr>
          <w:rFonts w:asciiTheme="minorEastAsia" w:eastAsiaTheme="minorEastAsia" w:hAnsiTheme="minorEastAsia" w:cs="Arial" w:hint="eastAsia"/>
          <w:b/>
          <w:kern w:val="0"/>
          <w:szCs w:val="20"/>
        </w:rPr>
        <w:lastRenderedPageBreak/>
        <w:t>7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.</w:t>
      </w:r>
      <w:r w:rsidR="004D6B24" w:rsidRP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Iverson RE.</w:t>
      </w:r>
      <w:r w:rsidR="004D6B24" w:rsidRP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hyperlink r:id="rId10" w:history="1">
        <w:proofErr w:type="gramStart"/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Sedation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and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analgesia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in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ambulatory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settings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>.</w:t>
        </w:r>
        <w:proofErr w:type="gramEnd"/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</w:t>
        </w:r>
        <w:proofErr w:type="gramStart"/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>American Society of Plastic and Reconstructive Surgeons.</w:t>
        </w:r>
        <w:proofErr w:type="gramEnd"/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</w:t>
        </w:r>
        <w:proofErr w:type="gramStart"/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Task Force on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Sedation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and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Analgesia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in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Ambulatory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 xml:space="preserve"> </w:t>
        </w:r>
        <w:r w:rsidR="004D6B24" w:rsidRPr="004D6B24">
          <w:rPr>
            <w:rFonts w:asciiTheme="minorEastAsia" w:eastAsiaTheme="minorEastAsia" w:hAnsiTheme="minorEastAsia" w:cs="Arial"/>
            <w:b/>
            <w:bCs/>
            <w:kern w:val="0"/>
            <w:szCs w:val="20"/>
          </w:rPr>
          <w:t>Settings</w:t>
        </w:r>
        <w:r w:rsidR="004D6B24" w:rsidRPr="004D6B24">
          <w:rPr>
            <w:rFonts w:asciiTheme="minorEastAsia" w:eastAsiaTheme="minorEastAsia" w:hAnsiTheme="minorEastAsia" w:cs="Arial"/>
            <w:b/>
            <w:kern w:val="0"/>
            <w:szCs w:val="20"/>
          </w:rPr>
          <w:t>.</w:t>
        </w:r>
        <w:proofErr w:type="gramEnd"/>
      </w:hyperlink>
      <w:r w:rsidR="004D6B24" w:rsidRP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proofErr w:type="spellStart"/>
      <w:proofErr w:type="gram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Plast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Reconstr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</w:t>
      </w:r>
      <w:proofErr w:type="spellStart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Surg</w:t>
      </w:r>
      <w:proofErr w:type="spellEnd"/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 xml:space="preserve"> 1999;</w:t>
      </w:r>
      <w:r w:rsidR="004D6B24" w:rsidRP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104:</w:t>
      </w:r>
      <w:r w:rsidR="004D6B24" w:rsidRP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 </w:t>
      </w:r>
      <w:r w:rsidR="004D6B24" w:rsidRPr="004D6B24">
        <w:rPr>
          <w:rFonts w:asciiTheme="minorEastAsia" w:eastAsiaTheme="minorEastAsia" w:hAnsiTheme="minorEastAsia" w:cs="Arial"/>
          <w:b/>
          <w:kern w:val="0"/>
          <w:szCs w:val="20"/>
        </w:rPr>
        <w:t>1559-64</w:t>
      </w:r>
      <w:r w:rsidR="004D6B24" w:rsidRPr="004D6B24">
        <w:rPr>
          <w:rFonts w:asciiTheme="minorEastAsia" w:eastAsiaTheme="minorEastAsia" w:hAnsiTheme="minorEastAsia" w:cs="Arial" w:hint="eastAsia"/>
          <w:b/>
          <w:kern w:val="0"/>
          <w:szCs w:val="20"/>
        </w:rPr>
        <w:t>.</w:t>
      </w:r>
      <w:proofErr w:type="gramEnd"/>
    </w:p>
    <w:p w:rsidR="004D6B24" w:rsidRDefault="005073AA" w:rsidP="004D3452">
      <w:pPr>
        <w:widowControl w:val="0"/>
        <w:autoSpaceDE w:val="0"/>
        <w:autoSpaceDN w:val="0"/>
        <w:adjustRightInd w:val="0"/>
        <w:spacing w:after="100" w:line="480" w:lineRule="auto"/>
        <w:jc w:val="both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rial" w:hint="eastAsia"/>
          <w:b/>
          <w:kern w:val="0"/>
          <w:szCs w:val="20"/>
        </w:rPr>
        <w:t>8</w:t>
      </w:r>
      <w:r w:rsidR="004D6B24" w:rsidRPr="004D3452">
        <w:rPr>
          <w:rFonts w:asciiTheme="minorEastAsia" w:eastAsiaTheme="minorEastAsia" w:hAnsiTheme="minorEastAsia" w:cs="Arial" w:hint="eastAsia"/>
          <w:b/>
          <w:kern w:val="0"/>
          <w:szCs w:val="20"/>
        </w:rPr>
        <w:t xml:space="preserve">. </w:t>
      </w:r>
      <w:r w:rsidR="004D3452"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American Society of Anesthesiologists </w:t>
      </w:r>
      <w:r w:rsidR="004D3452"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(ASA) </w:t>
      </w:r>
      <w:r w:rsidR="004D3452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Committee of Origin: Ambulatory Surgical Care</w:t>
      </w:r>
      <w:r w:rsidR="004D3452"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 xml:space="preserve">. </w:t>
      </w:r>
      <w:r w:rsidR="004D3452" w:rsidRPr="004D3452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4D3452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STATEMENT ON SAFE USE OF PROPOFOL</w:t>
      </w:r>
      <w:r w:rsidR="004D3452"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 xml:space="preserve"> </w:t>
      </w:r>
      <w:r w:rsidR="004D3452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(Approved by the ASA House of Delegates on October 27, 2004, and amended on October 21, 2009)</w:t>
      </w:r>
      <w:r w:rsidR="004D3452"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 xml:space="preserve">. Available at </w:t>
      </w:r>
      <w:hyperlink r:id="rId11" w:history="1">
        <w:r w:rsidR="004D3452" w:rsidRPr="00FB6A1B">
          <w:rPr>
            <w:rStyle w:val="a7"/>
            <w:rFonts w:asciiTheme="minorEastAsia" w:eastAsiaTheme="minorEastAsia" w:hAnsiTheme="minorEastAsia" w:cs="AdvTT31ea7dbe"/>
            <w:b/>
            <w:kern w:val="0"/>
            <w:szCs w:val="20"/>
          </w:rPr>
          <w:t>http://www.asahq.org/resources/standards-and-guidelines</w:t>
        </w:r>
      </w:hyperlink>
    </w:p>
    <w:p w:rsidR="00812D6D" w:rsidRDefault="005073AA" w:rsidP="00812D6D">
      <w:pPr>
        <w:widowControl w:val="0"/>
        <w:autoSpaceDE w:val="0"/>
        <w:autoSpaceDN w:val="0"/>
        <w:adjustRightInd w:val="0"/>
        <w:spacing w:after="100" w:line="480" w:lineRule="auto"/>
        <w:jc w:val="both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cs="AdvTT31ea7dbe" w:hint="eastAsia"/>
          <w:b/>
          <w:color w:val="231F20"/>
          <w:szCs w:val="20"/>
        </w:rPr>
        <w:t>9</w:t>
      </w:r>
      <w:r w:rsidR="004D3452" w:rsidRPr="004D3452"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  <w:t xml:space="preserve">. </w:t>
      </w:r>
      <w:r w:rsidR="00812D6D"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American Society of Anesthesiologists </w:t>
      </w:r>
      <w:r w:rsidR="00812D6D"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(ASA) </w:t>
      </w:r>
      <w:r w:rsidR="00812D6D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Committee of Origin: Ambulatory Surgical Care</w:t>
      </w:r>
      <w:r w:rsidR="00812D6D"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>.</w:t>
      </w:r>
      <w:r w:rsidR="00812D6D"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  <w:r w:rsidR="004D3452" w:rsidRPr="004D3452">
        <w:rPr>
          <w:rFonts w:asciiTheme="minorEastAsia" w:eastAsiaTheme="minorEastAsia" w:hAnsiTheme="minorEastAsia" w:cs="Arial"/>
          <w:b/>
          <w:bCs/>
          <w:color w:val="000000"/>
          <w:kern w:val="0"/>
          <w:szCs w:val="20"/>
        </w:rPr>
        <w:t xml:space="preserve">STATEMENT ON GRANTING PRIVILEGES TO NONANESTHESIOLOGIST PHYSICIANS FOR PERSONALLY ADMINISTERING OR SUPERVISING DEEP SEDATION </w:t>
      </w:r>
      <w:r w:rsidR="004D3452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(Approved by the ASA House of Delegates on October 18, 2006, and amended on October 17, 2012)</w:t>
      </w:r>
      <w:r w:rsidR="00812D6D">
        <w:rPr>
          <w:rFonts w:asciiTheme="minorEastAsia" w:eastAsiaTheme="minorEastAsia" w:hAnsiTheme="minorEastAsia" w:hint="eastAsia"/>
          <w:b/>
          <w:bCs/>
          <w:szCs w:val="20"/>
        </w:rPr>
        <w:t xml:space="preserve">. </w:t>
      </w:r>
      <w:r w:rsidR="00812D6D"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 xml:space="preserve">Available at </w:t>
      </w:r>
      <w:hyperlink r:id="rId12" w:history="1">
        <w:r w:rsidR="00812D6D" w:rsidRPr="00FB6A1B">
          <w:rPr>
            <w:rStyle w:val="a7"/>
            <w:rFonts w:asciiTheme="minorEastAsia" w:eastAsiaTheme="minorEastAsia" w:hAnsiTheme="minorEastAsia" w:cs="AdvTT31ea7dbe"/>
            <w:b/>
            <w:kern w:val="0"/>
            <w:szCs w:val="20"/>
          </w:rPr>
          <w:t>http://www.asahq.org/re</w:t>
        </w:r>
        <w:bookmarkStart w:id="0" w:name="_GoBack"/>
        <w:bookmarkEnd w:id="0"/>
        <w:r w:rsidR="00812D6D" w:rsidRPr="00FB6A1B">
          <w:rPr>
            <w:rStyle w:val="a7"/>
            <w:rFonts w:asciiTheme="minorEastAsia" w:eastAsiaTheme="minorEastAsia" w:hAnsiTheme="minorEastAsia" w:cs="AdvTT31ea7dbe"/>
            <w:b/>
            <w:kern w:val="0"/>
            <w:szCs w:val="20"/>
          </w:rPr>
          <w:t>sources/standards-and-guidelines</w:t>
        </w:r>
      </w:hyperlink>
    </w:p>
    <w:p w:rsidR="00812D6D" w:rsidRDefault="00812D6D" w:rsidP="00812D6D">
      <w:pPr>
        <w:widowControl w:val="0"/>
        <w:autoSpaceDE w:val="0"/>
        <w:autoSpaceDN w:val="0"/>
        <w:adjustRightInd w:val="0"/>
        <w:spacing w:after="100" w:line="480" w:lineRule="auto"/>
        <w:jc w:val="both"/>
        <w:rPr>
          <w:rFonts w:asciiTheme="minorEastAsia" w:eastAsiaTheme="minorEastAsia" w:hAnsiTheme="minorEastAsia" w:cs="AdvTT31ea7dbe" w:hint="eastAsia"/>
          <w:b/>
          <w:color w:val="231F20"/>
          <w:kern w:val="0"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10. </w:t>
      </w:r>
      <w:r w:rsidRPr="004D6B24">
        <w:rPr>
          <w:rFonts w:asciiTheme="minorEastAsia" w:eastAsiaTheme="minorEastAsia" w:hAnsiTheme="minorEastAsia" w:cs="AdvPTimes"/>
          <w:b/>
          <w:kern w:val="0"/>
          <w:szCs w:val="20"/>
        </w:rPr>
        <w:t xml:space="preserve">American Society of Anesthesiologists </w:t>
      </w:r>
      <w:r>
        <w:rPr>
          <w:rFonts w:asciiTheme="minorEastAsia" w:eastAsiaTheme="minorEastAsia" w:hAnsiTheme="minorEastAsia" w:cs="AdvPTimes" w:hint="eastAsia"/>
          <w:b/>
          <w:kern w:val="0"/>
          <w:szCs w:val="20"/>
        </w:rPr>
        <w:t xml:space="preserve">(ASA) </w:t>
      </w:r>
      <w:r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Committee of Origin: Ambulatory Surgical Care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 xml:space="preserve">. </w:t>
      </w:r>
      <w:r w:rsidR="004D3452" w:rsidRPr="004D3452">
        <w:rPr>
          <w:rFonts w:asciiTheme="minorEastAsia" w:eastAsiaTheme="minorEastAsia" w:hAnsiTheme="minorEastAsia" w:cs="Franklin Gothic Demi"/>
          <w:b/>
          <w:szCs w:val="20"/>
        </w:rPr>
        <w:t>STATEMENT ON GRANTING PRIVILEGES FOR ADMINISTRATION OF MODERATE SEDATION TO PRACTITIONERS WHO ARE NOT ANESTHESIA PROFESSIONALS</w:t>
      </w:r>
      <w:r>
        <w:rPr>
          <w:rFonts w:asciiTheme="minorEastAsia" w:eastAsiaTheme="minorEastAsia" w:hAnsiTheme="minorEastAsia" w:cs="Franklin Gothic Demi" w:hint="eastAsia"/>
          <w:b/>
          <w:szCs w:val="20"/>
        </w:rPr>
        <w:t xml:space="preserve"> (</w:t>
      </w:r>
      <w:r w:rsidR="004D3452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Approved by the ASA House of Delegates on October 25, 2005, and last amended</w:t>
      </w:r>
      <w:r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  <w:r w:rsidR="004D3452" w:rsidRPr="004D3452">
        <w:rPr>
          <w:rFonts w:asciiTheme="minorEastAsia" w:eastAsiaTheme="minorEastAsia" w:hAnsiTheme="minorEastAsia"/>
          <w:b/>
          <w:bCs/>
          <w:color w:val="000000"/>
          <w:kern w:val="0"/>
          <w:szCs w:val="20"/>
        </w:rPr>
        <w:t>on October 19, 2011)</w:t>
      </w:r>
      <w:r>
        <w:rPr>
          <w:rFonts w:asciiTheme="minorEastAsia" w:eastAsiaTheme="minorEastAsia" w:hAnsiTheme="minorEastAsia" w:hint="eastAsia"/>
          <w:b/>
          <w:bCs/>
          <w:szCs w:val="20"/>
        </w:rPr>
        <w:t xml:space="preserve">. 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0"/>
        </w:rPr>
        <w:t xml:space="preserve">Available at </w:t>
      </w:r>
      <w:hyperlink r:id="rId13" w:history="1">
        <w:r w:rsidRPr="00FB6A1B">
          <w:rPr>
            <w:rStyle w:val="a7"/>
            <w:rFonts w:asciiTheme="minorEastAsia" w:eastAsiaTheme="minorEastAsia" w:hAnsiTheme="minorEastAsia" w:cs="AdvTT31ea7dbe"/>
            <w:b/>
            <w:kern w:val="0"/>
            <w:szCs w:val="20"/>
          </w:rPr>
          <w:t>http://www.asahq.org/resources/standards-and-guidelines</w:t>
        </w:r>
      </w:hyperlink>
    </w:p>
    <w:p w:rsidR="004D3452" w:rsidRPr="00812D6D" w:rsidRDefault="00812D6D" w:rsidP="00812D6D">
      <w:pPr>
        <w:widowControl w:val="0"/>
        <w:autoSpaceDE w:val="0"/>
        <w:autoSpaceDN w:val="0"/>
        <w:adjustRightInd w:val="0"/>
        <w:spacing w:after="100" w:line="480" w:lineRule="auto"/>
        <w:jc w:val="both"/>
        <w:rPr>
          <w:rFonts w:asciiTheme="minorEastAsia" w:eastAsiaTheme="minorEastAsia" w:hAnsiTheme="minorEastAsia" w:cs="AdvOTdcc99f76.B"/>
          <w:b/>
          <w:kern w:val="0"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11. </w:t>
      </w:r>
      <w:proofErr w:type="spellStart"/>
      <w:r w:rsidRPr="00812D6D">
        <w:rPr>
          <w:rFonts w:asciiTheme="minorEastAsia" w:eastAsiaTheme="minorEastAsia" w:hAnsiTheme="minorEastAsia" w:cs="AdvOTbfec020b"/>
          <w:b/>
          <w:kern w:val="0"/>
          <w:szCs w:val="20"/>
        </w:rPr>
        <w:t>Sheahan</w:t>
      </w:r>
      <w:proofErr w:type="spellEnd"/>
      <w:r>
        <w:rPr>
          <w:rFonts w:asciiTheme="minorEastAsia" w:eastAsiaTheme="minorEastAsia" w:hAnsiTheme="minorEastAsia" w:cs="AdvOTbfec020b" w:hint="eastAsia"/>
          <w:b/>
          <w:kern w:val="0"/>
          <w:szCs w:val="20"/>
        </w:rPr>
        <w:t xml:space="preserve"> CG, </w:t>
      </w:r>
      <w:r w:rsidRPr="00812D6D">
        <w:rPr>
          <w:rFonts w:asciiTheme="minorEastAsia" w:eastAsiaTheme="minorEastAsia" w:hAnsiTheme="minorEastAsia" w:cs="AdvOTbfec020b"/>
          <w:b/>
          <w:kern w:val="0"/>
          <w:szCs w:val="20"/>
        </w:rPr>
        <w:t>Mathews</w:t>
      </w:r>
      <w:r>
        <w:rPr>
          <w:rFonts w:asciiTheme="minorEastAsia" w:eastAsiaTheme="minorEastAsia" w:hAnsiTheme="minorEastAsia" w:cs="AdvOTbfec020b" w:hint="eastAsia"/>
          <w:b/>
          <w:kern w:val="0"/>
          <w:szCs w:val="20"/>
        </w:rPr>
        <w:t xml:space="preserve"> DM. </w:t>
      </w:r>
      <w:r w:rsidRPr="00812D6D">
        <w:rPr>
          <w:rFonts w:asciiTheme="minorEastAsia" w:eastAsiaTheme="minorEastAsia" w:hAnsiTheme="minorEastAsia" w:cs="AdvOTdcc99f76.B"/>
          <w:b/>
          <w:kern w:val="0"/>
          <w:szCs w:val="20"/>
        </w:rPr>
        <w:t>Monitoring and delivery of sedation</w:t>
      </w:r>
      <w:r>
        <w:rPr>
          <w:rFonts w:asciiTheme="minorEastAsia" w:eastAsiaTheme="minorEastAsia" w:hAnsiTheme="minorEastAsia" w:cs="AdvOTdcc99f76.B" w:hint="eastAsia"/>
          <w:b/>
          <w:kern w:val="0"/>
          <w:szCs w:val="20"/>
        </w:rPr>
        <w:t xml:space="preserve">. Br J </w:t>
      </w:r>
      <w:r w:rsidR="004D3452" w:rsidRPr="00812D6D">
        <w:rPr>
          <w:rFonts w:asciiTheme="minorEastAsia" w:eastAsiaTheme="minorEastAsia" w:hAnsiTheme="minorEastAsia" w:cs="AdvOT61c24f70.I"/>
          <w:b/>
          <w:kern w:val="0"/>
          <w:szCs w:val="20"/>
        </w:rPr>
        <w:t>Anaesth</w:t>
      </w:r>
      <w:r>
        <w:rPr>
          <w:rFonts w:asciiTheme="minorEastAsia" w:eastAsiaTheme="minorEastAsia" w:hAnsiTheme="minorEastAsia" w:cs="AdvOT61c24f70.I" w:hint="eastAsia"/>
          <w:b/>
          <w:kern w:val="0"/>
          <w:szCs w:val="20"/>
        </w:rPr>
        <w:t xml:space="preserve"> 2014;</w:t>
      </w:r>
      <w:r w:rsidR="004D3452" w:rsidRPr="00812D6D">
        <w:rPr>
          <w:rFonts w:asciiTheme="minorEastAsia" w:eastAsiaTheme="minorEastAsia" w:hAnsiTheme="minorEastAsia" w:cs="AdvOT61c24f70.I"/>
          <w:b/>
          <w:kern w:val="0"/>
          <w:szCs w:val="20"/>
        </w:rPr>
        <w:t xml:space="preserve"> </w:t>
      </w:r>
      <w:r w:rsidR="004D3452" w:rsidRPr="00812D6D">
        <w:rPr>
          <w:rFonts w:asciiTheme="minorEastAsia" w:eastAsiaTheme="minorEastAsia" w:hAnsiTheme="minorEastAsia" w:cs="AdvOTdcc99f76.B"/>
          <w:b/>
          <w:kern w:val="0"/>
          <w:szCs w:val="20"/>
        </w:rPr>
        <w:t>113</w:t>
      </w:r>
      <w:r w:rsidR="004D3452" w:rsidRPr="00812D6D">
        <w:rPr>
          <w:rFonts w:asciiTheme="minorEastAsia" w:eastAsiaTheme="minorEastAsia" w:hAnsiTheme="minorEastAsia" w:cs="AdvOTbfec020b"/>
          <w:b/>
          <w:kern w:val="0"/>
          <w:szCs w:val="20"/>
        </w:rPr>
        <w:t>:</w:t>
      </w:r>
      <w:r>
        <w:rPr>
          <w:rFonts w:asciiTheme="minorEastAsia" w:eastAsiaTheme="minorEastAsia" w:hAnsiTheme="minorEastAsia" w:cs="AdvOTbfec020b" w:hint="eastAsia"/>
          <w:b/>
          <w:kern w:val="0"/>
          <w:szCs w:val="20"/>
        </w:rPr>
        <w:t xml:space="preserve"> </w:t>
      </w:r>
      <w:r w:rsidR="004D3452" w:rsidRPr="00812D6D">
        <w:rPr>
          <w:rFonts w:asciiTheme="minorEastAsia" w:eastAsiaTheme="minorEastAsia" w:hAnsiTheme="minorEastAsia" w:cs="AdvOTbfec020b"/>
          <w:b/>
          <w:kern w:val="0"/>
          <w:szCs w:val="20"/>
        </w:rPr>
        <w:t>ii37–47</w:t>
      </w:r>
      <w:r>
        <w:rPr>
          <w:rFonts w:asciiTheme="minorEastAsia" w:eastAsiaTheme="minorEastAsia" w:hAnsiTheme="minorEastAsia" w:cs="AdvOTbfec020b" w:hint="eastAsia"/>
          <w:b/>
          <w:kern w:val="0"/>
          <w:szCs w:val="20"/>
        </w:rPr>
        <w:t>.</w:t>
      </w:r>
    </w:p>
    <w:sectPr w:rsidR="004D3452" w:rsidRPr="00812D6D" w:rsidSect="00C118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A4" w:rsidRDefault="00EA74A4" w:rsidP="001D22FD">
      <w:r>
        <w:separator/>
      </w:r>
    </w:p>
  </w:endnote>
  <w:endnote w:type="continuationSeparator" w:id="0">
    <w:p w:rsidR="00EA74A4" w:rsidRDefault="00EA74A4" w:rsidP="001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vTT31ea7db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c59b273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vOTdcc99f76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fec020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1c24f70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A4" w:rsidRDefault="00EA74A4" w:rsidP="001D22FD">
      <w:r>
        <w:separator/>
      </w:r>
    </w:p>
  </w:footnote>
  <w:footnote w:type="continuationSeparator" w:id="0">
    <w:p w:rsidR="00EA74A4" w:rsidRDefault="00EA74A4" w:rsidP="001D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87E"/>
    <w:multiLevelType w:val="hybridMultilevel"/>
    <w:tmpl w:val="928A5E14"/>
    <w:lvl w:ilvl="0" w:tplc="16CE53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E16D07"/>
    <w:multiLevelType w:val="hybridMultilevel"/>
    <w:tmpl w:val="22FED3AC"/>
    <w:lvl w:ilvl="0" w:tplc="9E0225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3325AA6"/>
    <w:multiLevelType w:val="hybridMultilevel"/>
    <w:tmpl w:val="0CC2BF3A"/>
    <w:lvl w:ilvl="0" w:tplc="D71013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3B74821"/>
    <w:multiLevelType w:val="hybridMultilevel"/>
    <w:tmpl w:val="4CA4A8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48C0D2E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바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830662"/>
    <w:multiLevelType w:val="hybridMultilevel"/>
    <w:tmpl w:val="5E86A434"/>
    <w:lvl w:ilvl="0" w:tplc="573C2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493B4B"/>
    <w:multiLevelType w:val="hybridMultilevel"/>
    <w:tmpl w:val="18AAA7BA"/>
    <w:lvl w:ilvl="0" w:tplc="5D481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95"/>
    <w:rsid w:val="00083539"/>
    <w:rsid w:val="00112932"/>
    <w:rsid w:val="0011757F"/>
    <w:rsid w:val="00131F93"/>
    <w:rsid w:val="00163A42"/>
    <w:rsid w:val="001B79F9"/>
    <w:rsid w:val="001D22FD"/>
    <w:rsid w:val="002270DF"/>
    <w:rsid w:val="0024385E"/>
    <w:rsid w:val="00247BBB"/>
    <w:rsid w:val="00327879"/>
    <w:rsid w:val="003B4F3A"/>
    <w:rsid w:val="003E35FE"/>
    <w:rsid w:val="00453E80"/>
    <w:rsid w:val="004C13D7"/>
    <w:rsid w:val="004D3452"/>
    <w:rsid w:val="004D6B24"/>
    <w:rsid w:val="004F68F6"/>
    <w:rsid w:val="00500062"/>
    <w:rsid w:val="005073AA"/>
    <w:rsid w:val="0052314D"/>
    <w:rsid w:val="005E27E2"/>
    <w:rsid w:val="006B41A6"/>
    <w:rsid w:val="007053B1"/>
    <w:rsid w:val="00710A01"/>
    <w:rsid w:val="00743916"/>
    <w:rsid w:val="0076173C"/>
    <w:rsid w:val="00812D6D"/>
    <w:rsid w:val="0089660D"/>
    <w:rsid w:val="008A7D74"/>
    <w:rsid w:val="009169B7"/>
    <w:rsid w:val="00947729"/>
    <w:rsid w:val="0095232C"/>
    <w:rsid w:val="00952949"/>
    <w:rsid w:val="009744A1"/>
    <w:rsid w:val="0097610B"/>
    <w:rsid w:val="00980F18"/>
    <w:rsid w:val="00982A19"/>
    <w:rsid w:val="009D4814"/>
    <w:rsid w:val="009F7770"/>
    <w:rsid w:val="00A87F95"/>
    <w:rsid w:val="00AC10CA"/>
    <w:rsid w:val="00B002C7"/>
    <w:rsid w:val="00B11F52"/>
    <w:rsid w:val="00B268FC"/>
    <w:rsid w:val="00B26AFE"/>
    <w:rsid w:val="00B3276C"/>
    <w:rsid w:val="00B4053B"/>
    <w:rsid w:val="00B76727"/>
    <w:rsid w:val="00BD3EA1"/>
    <w:rsid w:val="00BD5D5C"/>
    <w:rsid w:val="00C11809"/>
    <w:rsid w:val="00CC4A9C"/>
    <w:rsid w:val="00CD78F8"/>
    <w:rsid w:val="00D65F07"/>
    <w:rsid w:val="00D86271"/>
    <w:rsid w:val="00D93088"/>
    <w:rsid w:val="00D971D2"/>
    <w:rsid w:val="00DF60EF"/>
    <w:rsid w:val="00E042CF"/>
    <w:rsid w:val="00E701E6"/>
    <w:rsid w:val="00E72240"/>
    <w:rsid w:val="00E74222"/>
    <w:rsid w:val="00EA74A4"/>
    <w:rsid w:val="00EB08DD"/>
    <w:rsid w:val="00EC414B"/>
    <w:rsid w:val="00F653DA"/>
    <w:rsid w:val="00F75567"/>
    <w:rsid w:val="00F85C07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qFormat/>
    <w:rsid w:val="005E27E2"/>
    <w:pPr>
      <w:spacing w:line="480" w:lineRule="auto"/>
      <w:ind w:left="357" w:hanging="357"/>
    </w:pPr>
    <w:rPr>
      <w:rFonts w:ascii="Times New Roman" w:eastAsia="MS Mincho" w:hAnsi="Times New Roman"/>
      <w:sz w:val="24"/>
      <w:szCs w:val="20"/>
      <w:lang w:eastAsia="ja-JP"/>
    </w:rPr>
  </w:style>
  <w:style w:type="paragraph" w:styleId="a3">
    <w:name w:val="List Paragraph"/>
    <w:basedOn w:val="a"/>
    <w:uiPriority w:val="34"/>
    <w:qFormat/>
    <w:rsid w:val="00F85C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D22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22FD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1D22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22FD"/>
    <w:rPr>
      <w:kern w:val="2"/>
      <w:szCs w:val="22"/>
    </w:rPr>
  </w:style>
  <w:style w:type="table" w:styleId="a6">
    <w:name w:val="Table Grid"/>
    <w:basedOn w:val="a1"/>
    <w:uiPriority w:val="59"/>
    <w:rsid w:val="0074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4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D3452"/>
    <w:rPr>
      <w:color w:val="0000FF" w:themeColor="hyperlink"/>
      <w:u w:val="single"/>
    </w:rPr>
  </w:style>
  <w:style w:type="paragraph" w:customStyle="1" w:styleId="title1">
    <w:name w:val="title1"/>
    <w:basedOn w:val="a"/>
    <w:rsid w:val="005073AA"/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5073AA"/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5073AA"/>
    <w:rPr>
      <w:rFonts w:ascii="굴림" w:eastAsia="굴림" w:hAnsi="굴림" w:cs="굴림"/>
      <w:kern w:val="0"/>
      <w:sz w:val="22"/>
    </w:rPr>
  </w:style>
  <w:style w:type="character" w:customStyle="1" w:styleId="jrnl">
    <w:name w:val="jrnl"/>
    <w:basedOn w:val="a0"/>
    <w:rsid w:val="0050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qFormat/>
    <w:rsid w:val="005E27E2"/>
    <w:pPr>
      <w:spacing w:line="480" w:lineRule="auto"/>
      <w:ind w:left="357" w:hanging="357"/>
    </w:pPr>
    <w:rPr>
      <w:rFonts w:ascii="Times New Roman" w:eastAsia="MS Mincho" w:hAnsi="Times New Roman"/>
      <w:sz w:val="24"/>
      <w:szCs w:val="20"/>
      <w:lang w:eastAsia="ja-JP"/>
    </w:rPr>
  </w:style>
  <w:style w:type="paragraph" w:styleId="a3">
    <w:name w:val="List Paragraph"/>
    <w:basedOn w:val="a"/>
    <w:uiPriority w:val="34"/>
    <w:qFormat/>
    <w:rsid w:val="00F85C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D22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22FD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1D22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22FD"/>
    <w:rPr>
      <w:kern w:val="2"/>
      <w:szCs w:val="22"/>
    </w:rPr>
  </w:style>
  <w:style w:type="table" w:styleId="a6">
    <w:name w:val="Table Grid"/>
    <w:basedOn w:val="a1"/>
    <w:uiPriority w:val="59"/>
    <w:rsid w:val="0074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4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D3452"/>
    <w:rPr>
      <w:color w:val="0000FF" w:themeColor="hyperlink"/>
      <w:u w:val="single"/>
    </w:rPr>
  </w:style>
  <w:style w:type="paragraph" w:customStyle="1" w:styleId="title1">
    <w:name w:val="title1"/>
    <w:basedOn w:val="a"/>
    <w:rsid w:val="005073AA"/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5073AA"/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5073AA"/>
    <w:rPr>
      <w:rFonts w:ascii="굴림" w:eastAsia="굴림" w:hAnsi="굴림" w:cs="굴림"/>
      <w:kern w:val="0"/>
      <w:sz w:val="22"/>
    </w:rPr>
  </w:style>
  <w:style w:type="character" w:customStyle="1" w:styleId="jrnl">
    <w:name w:val="jrnl"/>
    <w:basedOn w:val="a0"/>
    <w:rsid w:val="0050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0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3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1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22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0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6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28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3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0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7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5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3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64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63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9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8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0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Wientjes%20C%5BAuthor%5D&amp;cauthor=true&amp;cauthor_uid=21072716" TargetMode="External"/><Relationship Id="rId13" Type="http://schemas.openxmlformats.org/officeDocument/2006/relationships/hyperlink" Target="http://www.asahq.org/resources/standards-and-guideli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ahq.org/resources/standards-and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hq.org/resources/standards-and-guidel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10513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5278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Authors</dc:creator>
  <cp:lastModifiedBy>Authors</cp:lastModifiedBy>
  <cp:revision>2</cp:revision>
  <dcterms:created xsi:type="dcterms:W3CDTF">2015-03-30T05:22:00Z</dcterms:created>
  <dcterms:modified xsi:type="dcterms:W3CDTF">2015-03-30T05:22:00Z</dcterms:modified>
</cp:coreProperties>
</file>